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BC975" w14:textId="4511D2E9" w:rsidR="00990AA1" w:rsidRPr="000C5734" w:rsidRDefault="00990AA1" w:rsidP="00990AA1">
      <w:pPr>
        <w:pStyle w:val="3GPPHeader"/>
        <w:rPr>
          <w:highlight w:val="yellow"/>
        </w:rPr>
      </w:pPr>
      <w:r w:rsidRPr="000C5734">
        <w:t xml:space="preserve">3GPP TSG RAN WG1 Meeting </w:t>
      </w:r>
      <w:r>
        <w:t>#92</w:t>
      </w:r>
      <w:r w:rsidRPr="000C5734">
        <w:tab/>
      </w:r>
      <w:r w:rsidRPr="00990AA1">
        <w:t>R1-</w:t>
      </w:r>
      <w:r w:rsidRPr="00990AA1">
        <w:t>1802749</w:t>
      </w:r>
    </w:p>
    <w:p w14:paraId="74AC67CA" w14:textId="77777777" w:rsidR="00990AA1" w:rsidRPr="007679B0" w:rsidRDefault="00990AA1" w:rsidP="00990AA1">
      <w:pPr>
        <w:pStyle w:val="3GPPHeader"/>
      </w:pPr>
      <w:r>
        <w:t>Athens, Greece</w:t>
      </w:r>
      <w:r w:rsidRPr="000C5734">
        <w:t xml:space="preserve">, </w:t>
      </w:r>
      <w:r>
        <w:t>26</w:t>
      </w:r>
      <w:r w:rsidRPr="0070615A">
        <w:rPr>
          <w:vertAlign w:val="superscript"/>
        </w:rPr>
        <w:t>th</w:t>
      </w:r>
      <w:r>
        <w:t xml:space="preserve"> February – 2</w:t>
      </w:r>
      <w:r w:rsidRPr="00AE642B">
        <w:rPr>
          <w:vertAlign w:val="superscript"/>
        </w:rPr>
        <w:t>nd</w:t>
      </w:r>
      <w:r>
        <w:t xml:space="preserve"> </w:t>
      </w:r>
      <w:proofErr w:type="gramStart"/>
      <w:r>
        <w:t>March</w:t>
      </w:r>
      <w:r w:rsidRPr="000C5734">
        <w:t>,</w:t>
      </w:r>
      <w:proofErr w:type="gramEnd"/>
      <w:r w:rsidRPr="000C5734">
        <w:t xml:space="preserve"> 2018</w:t>
      </w:r>
    </w:p>
    <w:p w14:paraId="26BDF148" w14:textId="77777777" w:rsidR="00AC3461" w:rsidRPr="00CE0424" w:rsidRDefault="00AC3461" w:rsidP="00AC3461">
      <w:pPr>
        <w:pStyle w:val="3GPPHeader"/>
      </w:pPr>
    </w:p>
    <w:p w14:paraId="5FDE21B5" w14:textId="77777777" w:rsidR="00AC3461" w:rsidRPr="00327997" w:rsidRDefault="00AC3461" w:rsidP="00AC3461">
      <w:pPr>
        <w:pStyle w:val="3GPPHeader"/>
      </w:pPr>
      <w:r w:rsidRPr="00327997">
        <w:t>Source:</w:t>
      </w:r>
      <w:r w:rsidRPr="00327997">
        <w:tab/>
        <w:t>Ericsson</w:t>
      </w:r>
    </w:p>
    <w:p w14:paraId="67C012B0" w14:textId="37A962EC" w:rsidR="00AC3461" w:rsidRPr="00327997" w:rsidRDefault="00AC3461" w:rsidP="00AC3461">
      <w:pPr>
        <w:pStyle w:val="3GPPHeader"/>
      </w:pPr>
      <w:r w:rsidRPr="00327997">
        <w:t>Title:</w:t>
      </w:r>
      <w:r w:rsidRPr="00327997">
        <w:tab/>
      </w:r>
      <w:r>
        <w:t>On multi-panel codebook extension</w:t>
      </w:r>
    </w:p>
    <w:p w14:paraId="4E99E665" w14:textId="21CC2450" w:rsidR="00AC3461" w:rsidRPr="00327997" w:rsidRDefault="00AC3461" w:rsidP="00AC3461">
      <w:pPr>
        <w:pStyle w:val="3GPPHeader"/>
      </w:pPr>
      <w:r w:rsidRPr="00AC3461">
        <w:t>Agenda Item:</w:t>
      </w:r>
      <w:r w:rsidRPr="00AC3461">
        <w:tab/>
        <w:t>7.</w:t>
      </w:r>
      <w:r w:rsidR="00990AA1">
        <w:t>1.</w:t>
      </w:r>
      <w:r w:rsidRPr="00AC3461">
        <w:t>2.2.6</w:t>
      </w:r>
    </w:p>
    <w:p w14:paraId="01287F38" w14:textId="77777777" w:rsidR="00AC3461" w:rsidRPr="00CE0424" w:rsidRDefault="00AC3461" w:rsidP="00AC3461">
      <w:pPr>
        <w:pStyle w:val="3GPPHeader"/>
      </w:pPr>
      <w:r w:rsidRPr="00327997">
        <w:t>Document for:</w:t>
      </w:r>
      <w:r w:rsidRPr="00327997">
        <w:tab/>
      </w:r>
      <w:r>
        <w:t>Discussion and</w:t>
      </w:r>
      <w:r w:rsidRPr="009C6832">
        <w:t xml:space="preserve"> Decision</w:t>
      </w:r>
    </w:p>
    <w:p w14:paraId="72B2365A" w14:textId="77777777" w:rsidR="00E90E49" w:rsidRPr="00CE0424" w:rsidRDefault="007F75D5" w:rsidP="00CE0424">
      <w:pPr>
        <w:pStyle w:val="Heading1"/>
      </w:pPr>
      <w:r>
        <w:t>Introduction</w:t>
      </w:r>
    </w:p>
    <w:p w14:paraId="24ABEB72" w14:textId="2026CF0C" w:rsidR="00004CD4" w:rsidRDefault="006E6F50" w:rsidP="00004CD4">
      <w:pPr>
        <w:pStyle w:val="BodyText"/>
      </w:pPr>
      <w:r>
        <w:t>In RAN1#</w:t>
      </w:r>
      <w:r w:rsidR="00004CD4">
        <w:t xml:space="preserve">89, the PMI codebooks for Type I and Type II were agreed. </w:t>
      </w:r>
    </w:p>
    <w:p w14:paraId="01A13723" w14:textId="77777777" w:rsidR="00004CD4" w:rsidRPr="004064B1" w:rsidRDefault="00004CD4" w:rsidP="00004CD4">
      <w:pPr>
        <w:rPr>
          <w:rFonts w:eastAsia="MS Mincho"/>
          <w:lang w:eastAsia="ja-JP"/>
        </w:rPr>
      </w:pPr>
      <w:r w:rsidRPr="004064B1">
        <w:rPr>
          <w:rFonts w:eastAsia="MS Mincho"/>
          <w:highlight w:val="green"/>
          <w:lang w:eastAsia="ja-JP"/>
        </w:rPr>
        <w:t>Agreements</w:t>
      </w:r>
      <w:r w:rsidRPr="004064B1">
        <w:rPr>
          <w:rFonts w:eastAsia="MS Mincho"/>
          <w:lang w:eastAsia="ja-JP"/>
        </w:rPr>
        <w:t>:</w:t>
      </w:r>
    </w:p>
    <w:p w14:paraId="20CCFC41" w14:textId="77777777" w:rsidR="00004CD4" w:rsidRPr="004064B1" w:rsidRDefault="00004CD4" w:rsidP="00004CD4">
      <w:pPr>
        <w:numPr>
          <w:ilvl w:val="0"/>
          <w:numId w:val="15"/>
        </w:numPr>
        <w:spacing w:after="0"/>
        <w:rPr>
          <w:rFonts w:eastAsia="MS Mincho"/>
          <w:lang w:eastAsia="ja-JP"/>
        </w:rPr>
      </w:pPr>
      <w:r w:rsidRPr="004064B1">
        <w:rPr>
          <w:rFonts w:eastAsia="MS Mincho"/>
          <w:lang w:eastAsia="ja-JP"/>
        </w:rPr>
        <w:t xml:space="preserve">Slides 4 to 24 in </w:t>
      </w:r>
      <w:hyperlink r:id="rId8" w:history="1">
        <w:r>
          <w:rPr>
            <w:rStyle w:val="Hyperlink"/>
            <w:rFonts w:eastAsia="MS Mincho"/>
            <w:lang w:eastAsia="ja-JP"/>
          </w:rPr>
          <w:t>R1-1709232</w:t>
        </w:r>
      </w:hyperlink>
      <w:r w:rsidRPr="004064B1">
        <w:rPr>
          <w:rFonts w:eastAsia="MS Mincho"/>
          <w:lang w:eastAsia="ja-JP"/>
        </w:rPr>
        <w:t xml:space="preserve"> are agreed</w:t>
      </w:r>
    </w:p>
    <w:p w14:paraId="72F6087A" w14:textId="77777777" w:rsidR="00004CD4" w:rsidRPr="004064B1" w:rsidRDefault="00004CD4" w:rsidP="00004CD4">
      <w:pPr>
        <w:numPr>
          <w:ilvl w:val="1"/>
          <w:numId w:val="15"/>
        </w:numPr>
        <w:spacing w:after="0"/>
        <w:rPr>
          <w:rFonts w:eastAsia="MS Mincho"/>
          <w:lang w:eastAsia="ja-JP"/>
        </w:rPr>
      </w:pPr>
      <w:r w:rsidRPr="004064B1">
        <w:rPr>
          <w:rFonts w:eastAsia="MS Mincho"/>
          <w:lang w:eastAsia="ja-JP"/>
        </w:rPr>
        <w:t>For slide 20, FFS whether or not support frequency-dependent parameterization and if so, the details</w:t>
      </w:r>
    </w:p>
    <w:p w14:paraId="0BE1D049" w14:textId="514D60FD" w:rsidR="00004CD4" w:rsidRDefault="00004CD4" w:rsidP="00004CD4">
      <w:pPr>
        <w:numPr>
          <w:ilvl w:val="1"/>
          <w:numId w:val="15"/>
        </w:numPr>
        <w:spacing w:after="0"/>
      </w:pPr>
      <w:r w:rsidRPr="00004CD4">
        <w:rPr>
          <w:rFonts w:eastAsia="MS Mincho"/>
          <w:lang w:eastAsia="ja-JP"/>
        </w:rPr>
        <w:t>FFS whether or not to further enhance analog beamforming related operations especially for &gt;1 layers</w:t>
      </w:r>
    </w:p>
    <w:p w14:paraId="45D94F03" w14:textId="53A0212E" w:rsidR="00477768" w:rsidRDefault="00004CD4" w:rsidP="00004CD4">
      <w:pPr>
        <w:pStyle w:val="BodyText"/>
      </w:pPr>
      <w:r>
        <w:t xml:space="preserve">This included the new multi-panel codebook for Type I reporting. In the multi-panel codebook, the same DFT precoder from the single-panel codebook is applied on each antenna panel, and a per-panel cophase is applied to coherently combine the panels to form a transmitted layer. The following configurations of number of panels </w:t>
      </w:r>
      <m:oMath>
        <m:sSub>
          <m:sSubPr>
            <m:ctrlPr>
              <w:rPr>
                <w:rFonts w:ascii="Cambria Math" w:hAnsi="Cambria Math"/>
                <w:i/>
              </w:rPr>
            </m:ctrlPr>
          </m:sSubPr>
          <m:e>
            <m:r>
              <w:rPr>
                <w:rFonts w:ascii="Cambria Math" w:hAnsi="Cambria Math"/>
              </w:rPr>
              <m:t>N</m:t>
            </m:r>
          </m:e>
          <m:sub>
            <m:r>
              <w:rPr>
                <w:rFonts w:ascii="Cambria Math" w:hAnsi="Cambria Math"/>
              </w:rPr>
              <m:t>g</m:t>
            </m:r>
          </m:sub>
        </m:sSub>
      </m:oMath>
      <w:r>
        <w:t xml:space="preserve"> and panel </w:t>
      </w:r>
      <w:r w:rsidR="00571BE9">
        <w:t xml:space="preserve">port </w:t>
      </w:r>
      <w:r>
        <w:t xml:space="preserve">layouts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oMath>
      <w:r>
        <w:t xml:space="preserve"> are supported:</w:t>
      </w:r>
    </w:p>
    <w:tbl>
      <w:tblPr>
        <w:tblW w:w="3893" w:type="dxa"/>
        <w:tblInd w:w="2835" w:type="dxa"/>
        <w:tblCellMar>
          <w:left w:w="0" w:type="dxa"/>
          <w:right w:w="0" w:type="dxa"/>
        </w:tblCellMar>
        <w:tblLook w:val="06A0" w:firstRow="1" w:lastRow="0" w:firstColumn="1" w:lastColumn="0" w:noHBand="1" w:noVBand="1"/>
      </w:tblPr>
      <w:tblGrid>
        <w:gridCol w:w="1005"/>
        <w:gridCol w:w="1832"/>
        <w:gridCol w:w="1056"/>
      </w:tblGrid>
      <w:tr w:rsidR="00004CD4" w:rsidRPr="00004CD4" w14:paraId="7C3D8BE8" w14:textId="77777777" w:rsidTr="00004CD4">
        <w:trPr>
          <w:trHeight w:val="724"/>
        </w:trPr>
        <w:tc>
          <w:tcPr>
            <w:tcW w:w="1005" w:type="dxa"/>
            <w:tcBorders>
              <w:top w:val="single" w:sz="8" w:space="0" w:color="FFFFFF"/>
              <w:left w:val="single" w:sz="8" w:space="0" w:color="FFFFFF"/>
              <w:bottom w:val="single" w:sz="24" w:space="0" w:color="FFFFFF"/>
              <w:right w:val="single" w:sz="8" w:space="0" w:color="FFFFFF"/>
            </w:tcBorders>
            <w:shd w:val="clear" w:color="auto" w:fill="F08A00"/>
            <w:tcMar>
              <w:top w:w="13" w:type="dxa"/>
              <w:left w:w="13" w:type="dxa"/>
              <w:bottom w:w="0" w:type="dxa"/>
              <w:right w:w="13" w:type="dxa"/>
            </w:tcMar>
            <w:vAlign w:val="center"/>
            <w:hideMark/>
          </w:tcPr>
          <w:p w14:paraId="53AA5493" w14:textId="77777777" w:rsidR="00004CD4" w:rsidRPr="00004CD4" w:rsidRDefault="00004CD4" w:rsidP="00004CD4">
            <w:pPr>
              <w:spacing w:before="60" w:after="60"/>
              <w:textAlignment w:val="bottom"/>
              <w:rPr>
                <w:rFonts w:ascii="Arial" w:hAnsi="Arial" w:cs="Arial"/>
                <w:sz w:val="18"/>
                <w:szCs w:val="36"/>
              </w:rPr>
            </w:pPr>
            <w:r w:rsidRPr="00004CD4">
              <w:rPr>
                <w:rFonts w:ascii="Arial" w:hAnsi="Arial" w:cs="Arial"/>
                <w:b/>
                <w:bCs/>
                <w:color w:val="FFFFFF"/>
                <w:kern w:val="24"/>
                <w:sz w:val="18"/>
                <w:szCs w:val="32"/>
              </w:rPr>
              <w:t>Number of CSI-RS ports</w:t>
            </w:r>
          </w:p>
        </w:tc>
        <w:tc>
          <w:tcPr>
            <w:tcW w:w="1832" w:type="dxa"/>
            <w:tcBorders>
              <w:top w:val="single" w:sz="8" w:space="0" w:color="FFFFFF"/>
              <w:left w:val="single" w:sz="8" w:space="0" w:color="FFFFFF"/>
              <w:bottom w:val="single" w:sz="24" w:space="0" w:color="FFFFFF"/>
              <w:right w:val="single" w:sz="8" w:space="0" w:color="FFFFFF"/>
            </w:tcBorders>
            <w:shd w:val="clear" w:color="auto" w:fill="F08A00"/>
            <w:tcMar>
              <w:top w:w="13" w:type="dxa"/>
              <w:left w:w="13" w:type="dxa"/>
              <w:bottom w:w="0" w:type="dxa"/>
              <w:right w:w="13" w:type="dxa"/>
            </w:tcMar>
            <w:vAlign w:val="center"/>
            <w:hideMark/>
          </w:tcPr>
          <w:p w14:paraId="487B6192" w14:textId="77777777" w:rsidR="00004CD4" w:rsidRPr="00004CD4" w:rsidRDefault="00EA45D8" w:rsidP="00004CD4">
            <w:pPr>
              <w:spacing w:before="60" w:after="60"/>
              <w:jc w:val="center"/>
              <w:textAlignment w:val="bottom"/>
              <w:rPr>
                <w:rFonts w:ascii="Arial" w:hAnsi="Arial" w:cs="Arial"/>
                <w:sz w:val="18"/>
                <w:szCs w:val="36"/>
              </w:rPr>
            </w:pPr>
            <m:oMathPara>
              <m:oMathParaPr>
                <m:jc m:val="centerGroup"/>
              </m:oMathParaPr>
              <m:oMath>
                <m:d>
                  <m:dPr>
                    <m:ctrlPr>
                      <w:rPr>
                        <w:rFonts w:ascii="Cambria Math" w:hAnsi="Cambria Math" w:cs="Arial"/>
                        <w:i/>
                        <w:iCs/>
                        <w:color w:val="FFFFFF"/>
                        <w:kern w:val="24"/>
                        <w:sz w:val="18"/>
                        <w:szCs w:val="24"/>
                        <w:lang w:val="sv-SE"/>
                      </w:rPr>
                    </m:ctrlPr>
                  </m:dPr>
                  <m:e>
                    <m:sSub>
                      <m:sSubPr>
                        <m:ctrlPr>
                          <w:rPr>
                            <w:rFonts w:ascii="Cambria Math" w:hAnsi="Cambria Math" w:cs="Arial"/>
                            <w:b/>
                            <w:bCs/>
                            <w:i/>
                            <w:iCs/>
                            <w:color w:val="FFFFFF"/>
                            <w:kern w:val="24"/>
                            <w:sz w:val="18"/>
                            <w:szCs w:val="32"/>
                            <w:lang w:val="sv-SE"/>
                          </w:rPr>
                        </m:ctrlPr>
                      </m:sSubPr>
                      <m:e>
                        <m:r>
                          <m:rPr>
                            <m:sty m:val="bi"/>
                          </m:rPr>
                          <w:rPr>
                            <w:rFonts w:ascii="Cambria Math" w:hAnsi="Cambria Math" w:cs="Arial"/>
                            <w:color w:val="FFFFFF"/>
                            <w:kern w:val="24"/>
                            <w:sz w:val="18"/>
                            <w:szCs w:val="32"/>
                          </w:rPr>
                          <m:t>N</m:t>
                        </m:r>
                      </m:e>
                      <m:sub>
                        <m:r>
                          <m:rPr>
                            <m:sty m:val="bi"/>
                          </m:rPr>
                          <w:rPr>
                            <w:rFonts w:ascii="Cambria Math" w:hAnsi="Cambria Math" w:cs="Arial"/>
                            <w:color w:val="FFFFFF"/>
                            <w:kern w:val="24"/>
                            <w:sz w:val="18"/>
                            <w:szCs w:val="32"/>
                          </w:rPr>
                          <m:t>g</m:t>
                        </m:r>
                      </m:sub>
                    </m:sSub>
                    <m:r>
                      <m:rPr>
                        <m:sty m:val="bi"/>
                      </m:rPr>
                      <w:rPr>
                        <w:rFonts w:ascii="Cambria Math" w:hAnsi="Cambria Math" w:cs="Arial"/>
                        <w:color w:val="FFFFFF"/>
                        <w:kern w:val="24"/>
                        <w:sz w:val="18"/>
                        <w:szCs w:val="32"/>
                      </w:rPr>
                      <m:t>,</m:t>
                    </m:r>
                    <m:sSub>
                      <m:sSubPr>
                        <m:ctrlPr>
                          <w:rPr>
                            <w:rFonts w:ascii="Cambria Math" w:hAnsi="Cambria Math" w:cs="Arial"/>
                            <w:b/>
                            <w:bCs/>
                            <w:i/>
                            <w:iCs/>
                            <w:color w:val="FFFFFF"/>
                            <w:kern w:val="24"/>
                            <w:sz w:val="18"/>
                            <w:szCs w:val="32"/>
                            <w:lang w:val="sv-SE"/>
                          </w:rPr>
                        </m:ctrlPr>
                      </m:sSubPr>
                      <m:e>
                        <m:r>
                          <m:rPr>
                            <m:sty m:val="bi"/>
                          </m:rPr>
                          <w:rPr>
                            <w:rFonts w:ascii="Cambria Math" w:hAnsi="Cambria Math" w:cs="Arial"/>
                            <w:color w:val="FFFFFF"/>
                            <w:kern w:val="24"/>
                            <w:sz w:val="18"/>
                            <w:szCs w:val="32"/>
                            <w:lang w:val="sv-SE"/>
                          </w:rPr>
                          <m:t>N</m:t>
                        </m:r>
                      </m:e>
                      <m:sub>
                        <m:r>
                          <m:rPr>
                            <m:sty m:val="bi"/>
                          </m:rPr>
                          <w:rPr>
                            <w:rFonts w:ascii="Cambria Math" w:hAnsi="Cambria Math" w:cs="Arial"/>
                            <w:color w:val="FFFFFF"/>
                            <w:kern w:val="24"/>
                            <w:sz w:val="18"/>
                            <w:szCs w:val="32"/>
                            <w:lang w:val="sv-SE"/>
                          </w:rPr>
                          <m:t>1</m:t>
                        </m:r>
                      </m:sub>
                    </m:sSub>
                    <m:r>
                      <m:rPr>
                        <m:sty m:val="bi"/>
                      </m:rPr>
                      <w:rPr>
                        <w:rFonts w:ascii="Cambria Math" w:hAnsi="Cambria Math" w:cs="Arial"/>
                        <w:color w:val="FFFFFF"/>
                        <w:kern w:val="24"/>
                        <w:sz w:val="18"/>
                        <w:szCs w:val="32"/>
                      </w:rPr>
                      <m:t>,</m:t>
                    </m:r>
                    <m:sSub>
                      <m:sSubPr>
                        <m:ctrlPr>
                          <w:rPr>
                            <w:rFonts w:ascii="Cambria Math" w:hAnsi="Cambria Math" w:cs="Arial"/>
                            <w:b/>
                            <w:bCs/>
                            <w:i/>
                            <w:iCs/>
                            <w:color w:val="FFFFFF"/>
                            <w:kern w:val="24"/>
                            <w:sz w:val="18"/>
                            <w:szCs w:val="32"/>
                            <w:lang w:val="sv-SE"/>
                          </w:rPr>
                        </m:ctrlPr>
                      </m:sSubPr>
                      <m:e>
                        <m:r>
                          <m:rPr>
                            <m:sty m:val="bi"/>
                          </m:rPr>
                          <w:rPr>
                            <w:rFonts w:ascii="Cambria Math" w:hAnsi="Cambria Math" w:cs="Arial"/>
                            <w:color w:val="FFFFFF"/>
                            <w:kern w:val="24"/>
                            <w:sz w:val="18"/>
                            <w:szCs w:val="32"/>
                            <w:lang w:val="sv-SE"/>
                          </w:rPr>
                          <m:t>N</m:t>
                        </m:r>
                      </m:e>
                      <m:sub>
                        <m:r>
                          <m:rPr>
                            <m:sty m:val="bi"/>
                          </m:rPr>
                          <w:rPr>
                            <w:rFonts w:ascii="Cambria Math" w:hAnsi="Cambria Math" w:cs="Arial"/>
                            <w:color w:val="FFFFFF"/>
                            <w:kern w:val="24"/>
                            <w:sz w:val="18"/>
                            <w:szCs w:val="32"/>
                          </w:rPr>
                          <m:t>2</m:t>
                        </m:r>
                      </m:sub>
                    </m:sSub>
                  </m:e>
                </m:d>
              </m:oMath>
            </m:oMathPara>
          </w:p>
        </w:tc>
        <w:tc>
          <w:tcPr>
            <w:tcW w:w="1056" w:type="dxa"/>
            <w:tcBorders>
              <w:top w:val="single" w:sz="8" w:space="0" w:color="FFFFFF"/>
              <w:left w:val="single" w:sz="8" w:space="0" w:color="FFFFFF"/>
              <w:bottom w:val="single" w:sz="24" w:space="0" w:color="FFFFFF"/>
              <w:right w:val="single" w:sz="8" w:space="0" w:color="FFFFFF"/>
            </w:tcBorders>
            <w:shd w:val="clear" w:color="auto" w:fill="F08A00"/>
            <w:tcMar>
              <w:top w:w="13" w:type="dxa"/>
              <w:left w:w="13" w:type="dxa"/>
              <w:bottom w:w="0" w:type="dxa"/>
              <w:right w:w="13" w:type="dxa"/>
            </w:tcMar>
            <w:vAlign w:val="center"/>
            <w:hideMark/>
          </w:tcPr>
          <w:p w14:paraId="405AF388" w14:textId="77777777" w:rsidR="00004CD4" w:rsidRPr="00004CD4" w:rsidRDefault="00EA45D8" w:rsidP="00004CD4">
            <w:pPr>
              <w:spacing w:before="60" w:after="60"/>
              <w:jc w:val="center"/>
              <w:textAlignment w:val="bottom"/>
              <w:rPr>
                <w:rFonts w:ascii="Arial" w:hAnsi="Arial" w:cs="Arial"/>
                <w:sz w:val="18"/>
                <w:szCs w:val="36"/>
              </w:rPr>
            </w:pPr>
            <m:oMathPara>
              <m:oMathParaPr>
                <m:jc m:val="centerGroup"/>
              </m:oMathParaPr>
              <m:oMath>
                <m:d>
                  <m:dPr>
                    <m:ctrlPr>
                      <w:rPr>
                        <w:rFonts w:ascii="Cambria Math" w:hAnsi="Cambria Math" w:cs="Arial"/>
                        <w:b/>
                        <w:bCs/>
                        <w:i/>
                        <w:iCs/>
                        <w:color w:val="FFFFFF"/>
                        <w:kern w:val="24"/>
                        <w:sz w:val="18"/>
                        <w:szCs w:val="32"/>
                        <w:lang w:val="sv-SE"/>
                      </w:rPr>
                    </m:ctrlPr>
                  </m:dPr>
                  <m:e>
                    <m:sSub>
                      <m:sSubPr>
                        <m:ctrlPr>
                          <w:rPr>
                            <w:rFonts w:ascii="Cambria Math" w:hAnsi="Cambria Math" w:cs="Arial"/>
                            <w:b/>
                            <w:bCs/>
                            <w:i/>
                            <w:iCs/>
                            <w:color w:val="FFFFFF"/>
                            <w:kern w:val="24"/>
                            <w:sz w:val="18"/>
                            <w:szCs w:val="32"/>
                            <w:lang w:val="sv-SE"/>
                          </w:rPr>
                        </m:ctrlPr>
                      </m:sSubPr>
                      <m:e>
                        <m:r>
                          <m:rPr>
                            <m:sty m:val="bi"/>
                          </m:rPr>
                          <w:rPr>
                            <w:rFonts w:ascii="Cambria Math" w:hAnsi="Cambria Math" w:cs="Arial"/>
                            <w:color w:val="FFFFFF"/>
                            <w:kern w:val="24"/>
                            <w:sz w:val="18"/>
                            <w:szCs w:val="32"/>
                          </w:rPr>
                          <m:t>O</m:t>
                        </m:r>
                      </m:e>
                      <m:sub>
                        <m:r>
                          <m:rPr>
                            <m:sty m:val="bi"/>
                          </m:rPr>
                          <w:rPr>
                            <w:rFonts w:ascii="Cambria Math" w:hAnsi="Cambria Math" w:cs="Arial"/>
                            <w:color w:val="FFFFFF"/>
                            <w:kern w:val="24"/>
                            <w:sz w:val="18"/>
                            <w:szCs w:val="32"/>
                            <w:lang w:val="sv-SE"/>
                          </w:rPr>
                          <m:t>1</m:t>
                        </m:r>
                      </m:sub>
                    </m:sSub>
                    <m:r>
                      <m:rPr>
                        <m:sty m:val="bi"/>
                      </m:rPr>
                      <w:rPr>
                        <w:rFonts w:ascii="Cambria Math" w:hAnsi="Cambria Math" w:cs="Arial"/>
                        <w:color w:val="FFFFFF"/>
                        <w:kern w:val="24"/>
                        <w:sz w:val="18"/>
                        <w:szCs w:val="32"/>
                      </w:rPr>
                      <m:t>,</m:t>
                    </m:r>
                    <m:sSub>
                      <m:sSubPr>
                        <m:ctrlPr>
                          <w:rPr>
                            <w:rFonts w:ascii="Cambria Math" w:hAnsi="Cambria Math" w:cs="Arial"/>
                            <w:b/>
                            <w:bCs/>
                            <w:i/>
                            <w:iCs/>
                            <w:color w:val="FFFFFF"/>
                            <w:kern w:val="24"/>
                            <w:sz w:val="18"/>
                            <w:szCs w:val="32"/>
                            <w:lang w:val="sv-SE"/>
                          </w:rPr>
                        </m:ctrlPr>
                      </m:sSubPr>
                      <m:e>
                        <m:r>
                          <m:rPr>
                            <m:sty m:val="bi"/>
                          </m:rPr>
                          <w:rPr>
                            <w:rFonts w:ascii="Cambria Math" w:hAnsi="Cambria Math" w:cs="Arial"/>
                            <w:color w:val="FFFFFF"/>
                            <w:kern w:val="24"/>
                            <w:sz w:val="18"/>
                            <w:szCs w:val="32"/>
                          </w:rPr>
                          <m:t>O</m:t>
                        </m:r>
                      </m:e>
                      <m:sub>
                        <m:r>
                          <m:rPr>
                            <m:sty m:val="bi"/>
                          </m:rPr>
                          <w:rPr>
                            <w:rFonts w:ascii="Cambria Math" w:hAnsi="Cambria Math" w:cs="Arial"/>
                            <w:color w:val="FFFFFF"/>
                            <w:kern w:val="24"/>
                            <w:sz w:val="18"/>
                            <w:szCs w:val="32"/>
                          </w:rPr>
                          <m:t>2</m:t>
                        </m:r>
                      </m:sub>
                    </m:sSub>
                  </m:e>
                </m:d>
                <m:r>
                  <m:rPr>
                    <m:sty m:val="bi"/>
                  </m:rPr>
                  <w:rPr>
                    <w:rFonts w:ascii="Cambria Math" w:hAnsi="Cambria Math" w:cs="Arial"/>
                    <w:color w:val="FFFFFF"/>
                    <w:kern w:val="24"/>
                    <w:sz w:val="18"/>
                    <w:szCs w:val="32"/>
                  </w:rPr>
                  <m:t> </m:t>
                </m:r>
              </m:oMath>
            </m:oMathPara>
          </w:p>
        </w:tc>
      </w:tr>
      <w:tr w:rsidR="00004CD4" w:rsidRPr="00004CD4" w14:paraId="62A5ED9F" w14:textId="77777777" w:rsidTr="00004CD4">
        <w:trPr>
          <w:trHeight w:val="196"/>
        </w:trPr>
        <w:tc>
          <w:tcPr>
            <w:tcW w:w="1005" w:type="dxa"/>
            <w:tcBorders>
              <w:top w:val="single" w:sz="24" w:space="0" w:color="FFFFFF"/>
              <w:left w:val="single" w:sz="8" w:space="0" w:color="FFFFFF"/>
              <w:bottom w:val="single" w:sz="8" w:space="0" w:color="FFFFFF"/>
              <w:right w:val="single" w:sz="8" w:space="0" w:color="FFFFFF"/>
            </w:tcBorders>
            <w:shd w:val="clear" w:color="auto" w:fill="F08A00"/>
            <w:tcMar>
              <w:top w:w="13" w:type="dxa"/>
              <w:left w:w="13" w:type="dxa"/>
              <w:bottom w:w="0" w:type="dxa"/>
              <w:right w:w="13" w:type="dxa"/>
            </w:tcMar>
            <w:vAlign w:val="center"/>
            <w:hideMark/>
          </w:tcPr>
          <w:p w14:paraId="602D4BE0"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b/>
                <w:bCs/>
                <w:color w:val="FFFFFF"/>
                <w:kern w:val="24"/>
                <w:sz w:val="18"/>
                <w:szCs w:val="32"/>
              </w:rPr>
              <w:t>8</w:t>
            </w:r>
          </w:p>
        </w:tc>
        <w:tc>
          <w:tcPr>
            <w:tcW w:w="1832" w:type="dxa"/>
            <w:tcBorders>
              <w:top w:val="single" w:sz="24"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44C4AF4F"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(2,2,1)</w:t>
            </w:r>
          </w:p>
        </w:tc>
        <w:tc>
          <w:tcPr>
            <w:tcW w:w="1056" w:type="dxa"/>
            <w:tcBorders>
              <w:top w:val="single" w:sz="24"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488648DC"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(4,-)</w:t>
            </w:r>
          </w:p>
        </w:tc>
      </w:tr>
      <w:tr w:rsidR="00004CD4" w:rsidRPr="00004CD4" w14:paraId="216A621F" w14:textId="77777777" w:rsidTr="00004CD4">
        <w:trPr>
          <w:trHeight w:val="189"/>
        </w:trPr>
        <w:tc>
          <w:tcPr>
            <w:tcW w:w="1005" w:type="dxa"/>
            <w:vMerge w:val="restart"/>
            <w:tcBorders>
              <w:top w:val="single" w:sz="8" w:space="0" w:color="FFFFFF"/>
              <w:left w:val="single" w:sz="8" w:space="0" w:color="FFFFFF"/>
              <w:bottom w:val="single" w:sz="8" w:space="0" w:color="FFFFFF"/>
              <w:right w:val="single" w:sz="8" w:space="0" w:color="FFFFFF"/>
            </w:tcBorders>
            <w:shd w:val="clear" w:color="auto" w:fill="F08A00"/>
            <w:tcMar>
              <w:top w:w="13" w:type="dxa"/>
              <w:left w:w="13" w:type="dxa"/>
              <w:bottom w:w="0" w:type="dxa"/>
              <w:right w:w="13" w:type="dxa"/>
            </w:tcMar>
            <w:vAlign w:val="center"/>
            <w:hideMark/>
          </w:tcPr>
          <w:p w14:paraId="1299D477"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b/>
                <w:bCs/>
                <w:color w:val="FFFFFF"/>
                <w:kern w:val="24"/>
                <w:sz w:val="18"/>
                <w:szCs w:val="32"/>
              </w:rPr>
              <w:t>16</w:t>
            </w:r>
          </w:p>
        </w:tc>
        <w:tc>
          <w:tcPr>
            <w:tcW w:w="1832"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32789BB1"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(2,2,2)</w:t>
            </w:r>
          </w:p>
        </w:tc>
        <w:tc>
          <w:tcPr>
            <w:tcW w:w="1056"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57F9B38F"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(4,4)</w:t>
            </w:r>
          </w:p>
        </w:tc>
      </w:tr>
      <w:tr w:rsidR="00004CD4" w:rsidRPr="00004CD4" w14:paraId="0A2AF4F7" w14:textId="77777777" w:rsidTr="00004CD4">
        <w:trPr>
          <w:trHeight w:val="156"/>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9430BB1" w14:textId="77777777" w:rsidR="00004CD4" w:rsidRPr="00004CD4" w:rsidRDefault="00004CD4" w:rsidP="00004CD4">
            <w:pPr>
              <w:spacing w:after="0"/>
              <w:rPr>
                <w:rFonts w:ascii="Arial" w:hAnsi="Arial" w:cs="Arial"/>
                <w:sz w:val="18"/>
                <w:szCs w:val="36"/>
              </w:rPr>
            </w:pPr>
          </w:p>
        </w:tc>
        <w:tc>
          <w:tcPr>
            <w:tcW w:w="1832"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6C244344"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(2,4,1), (4,2,1)</w:t>
            </w:r>
          </w:p>
        </w:tc>
        <w:tc>
          <w:tcPr>
            <w:tcW w:w="1056"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463569DC"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(4,-)</w:t>
            </w:r>
          </w:p>
        </w:tc>
      </w:tr>
      <w:tr w:rsidR="00004CD4" w:rsidRPr="00004CD4" w14:paraId="197C080B" w14:textId="77777777" w:rsidTr="00004CD4">
        <w:trPr>
          <w:trHeight w:val="124"/>
        </w:trPr>
        <w:tc>
          <w:tcPr>
            <w:tcW w:w="1005" w:type="dxa"/>
            <w:vMerge w:val="restart"/>
            <w:tcBorders>
              <w:top w:val="single" w:sz="8" w:space="0" w:color="FFFFFF"/>
              <w:left w:val="single" w:sz="8" w:space="0" w:color="FFFFFF"/>
              <w:bottom w:val="single" w:sz="8" w:space="0" w:color="FFFFFF"/>
              <w:right w:val="single" w:sz="8" w:space="0" w:color="FFFFFF"/>
            </w:tcBorders>
            <w:shd w:val="clear" w:color="auto" w:fill="F08A00"/>
            <w:tcMar>
              <w:top w:w="13" w:type="dxa"/>
              <w:left w:w="13" w:type="dxa"/>
              <w:bottom w:w="0" w:type="dxa"/>
              <w:right w:w="13" w:type="dxa"/>
            </w:tcMar>
            <w:vAlign w:val="center"/>
            <w:hideMark/>
          </w:tcPr>
          <w:p w14:paraId="2D046B9E"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b/>
                <w:bCs/>
                <w:color w:val="FFFFFF"/>
                <w:kern w:val="24"/>
                <w:sz w:val="18"/>
                <w:szCs w:val="32"/>
              </w:rPr>
              <w:t>32</w:t>
            </w:r>
          </w:p>
        </w:tc>
        <w:tc>
          <w:tcPr>
            <w:tcW w:w="1832"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1DA1559B"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(2,4,2), (4,2,2)</w:t>
            </w:r>
          </w:p>
        </w:tc>
        <w:tc>
          <w:tcPr>
            <w:tcW w:w="1056"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515DE08B"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(4,4)</w:t>
            </w:r>
          </w:p>
        </w:tc>
      </w:tr>
      <w:tr w:rsidR="00004CD4" w:rsidRPr="00004CD4" w14:paraId="3159F1EA" w14:textId="77777777" w:rsidTr="00004CD4">
        <w:trPr>
          <w:trHeight w:val="156"/>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64D55C7" w14:textId="77777777" w:rsidR="00004CD4" w:rsidRPr="00004CD4" w:rsidRDefault="00004CD4" w:rsidP="00004CD4">
            <w:pPr>
              <w:spacing w:after="0"/>
              <w:rPr>
                <w:rFonts w:ascii="Arial" w:hAnsi="Arial" w:cs="Arial"/>
                <w:sz w:val="18"/>
                <w:szCs w:val="36"/>
              </w:rPr>
            </w:pPr>
          </w:p>
        </w:tc>
        <w:tc>
          <w:tcPr>
            <w:tcW w:w="1832"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1FE08D95"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(2,8,1), (4,4,1)</w:t>
            </w:r>
          </w:p>
        </w:tc>
        <w:tc>
          <w:tcPr>
            <w:tcW w:w="1056"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04A46240"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(4,-)</w:t>
            </w:r>
          </w:p>
        </w:tc>
      </w:tr>
    </w:tbl>
    <w:p w14:paraId="3650F58F" w14:textId="6597D57F" w:rsidR="00004CD4" w:rsidRPr="00CE0424" w:rsidRDefault="0080750B" w:rsidP="00D31B1E">
      <w:pPr>
        <w:spacing w:after="0" w:line="240" w:lineRule="auto"/>
      </w:pPr>
      <w:r>
        <w:t xml:space="preserve">Thus, the case with two ports per panel (i.e. one port per panel and polarization),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r>
          <w:rPr>
            <w:rFonts w:ascii="Cambria Math" w:hAnsi="Cambria Math"/>
          </w:rPr>
          <m:t>=(1,1)</m:t>
        </m:r>
      </m:oMath>
      <w:r>
        <w:t>, is not supported.</w:t>
      </w:r>
      <w:r w:rsidR="00D31B1E">
        <w:t xml:space="preserve"> This is a resubmission of </w:t>
      </w:r>
      <w:r w:rsidR="00AC3461">
        <w:rPr>
          <w:rFonts w:ascii="Calibri" w:eastAsia="Times New Roman" w:hAnsi="Calibri" w:cs="Times New Roman"/>
        </w:rPr>
        <w:t>R1-</w:t>
      </w:r>
      <w:r w:rsidR="00990AA1" w:rsidRPr="00990AA1">
        <w:rPr>
          <w:rFonts w:ascii="Calibri" w:eastAsia="Times New Roman" w:hAnsi="Calibri" w:cs="Times New Roman"/>
        </w:rPr>
        <w:t>1720975</w:t>
      </w:r>
      <w:r w:rsidR="00D31B1E">
        <w:rPr>
          <w:rFonts w:ascii="Calibri" w:eastAsia="Times New Roman" w:hAnsi="Calibri" w:cs="Times New Roman"/>
        </w:rPr>
        <w:t>.</w:t>
      </w:r>
    </w:p>
    <w:p w14:paraId="3CB8F8BC" w14:textId="10222780" w:rsidR="004000E8" w:rsidRDefault="00004CD4" w:rsidP="00CE0424">
      <w:pPr>
        <w:pStyle w:val="Heading1"/>
      </w:pPr>
      <w:r>
        <w:t>Beam management use case</w:t>
      </w:r>
    </w:p>
    <w:p w14:paraId="09521AEB" w14:textId="631119EE" w:rsidR="0080750B" w:rsidRDefault="0080750B" w:rsidP="0080750B">
      <w:r>
        <w:t xml:space="preserve">One use case for a multi-panel codebook is when beam management is used and the gNB is equipped with multiple </w:t>
      </w:r>
      <w:r w:rsidR="00C52A49">
        <w:t xml:space="preserve">analogues </w:t>
      </w:r>
      <w:r>
        <w:t>panels</w:t>
      </w:r>
      <w:r w:rsidR="00C52A49">
        <w:t>, with 2 TX chains each,</w:t>
      </w:r>
      <w:r>
        <w:t xml:space="preserve"> and where the gNB has the capability to transmit coherently between its antenna panels (which is a requirement for using the multi-panel codebook). Such as setup is illustrated in Figure </w:t>
      </w:r>
      <w:fldSimple w:instr=" SEQ Figure \* ARABIC ">
        <w:r>
          <w:rPr>
            <w:noProof/>
          </w:rPr>
          <w:t>1</w:t>
        </w:r>
      </w:fldSimple>
      <w:r>
        <w:t>. In order to determine a desired beam direction for the UE, the gNB can perform a P1 or P2 beam sweep from its antenna panels. If high-rank transmission is desired, the gNB can possibly transmit different layers on the different panels to the UE, possibly using different TX beams. However, if the UE require a low-rank transmission</w:t>
      </w:r>
      <w:r w:rsidR="00C52A49">
        <w:t xml:space="preserve"> (</w:t>
      </w:r>
      <w:proofErr w:type="spellStart"/>
      <w:r w:rsidR="00C52A49">
        <w:t>i.</w:t>
      </w:r>
      <w:r w:rsidR="00C35734">
        <w:t>e</w:t>
      </w:r>
      <w:proofErr w:type="spellEnd"/>
      <w:r w:rsidR="00C52A49">
        <w:t xml:space="preserve"> </w:t>
      </w:r>
      <w:r w:rsidR="00591875">
        <w:t xml:space="preserve">rank </w:t>
      </w:r>
      <w:r w:rsidR="00C52A49">
        <w:t>1 or 2), the gNB has the following options:</w:t>
      </w:r>
    </w:p>
    <w:p w14:paraId="76B3FD7E" w14:textId="4D8DE622" w:rsidR="00C52A49" w:rsidRDefault="00C52A49" w:rsidP="00C52A49">
      <w:pPr>
        <w:pStyle w:val="ListParagraph"/>
        <w:numPr>
          <w:ilvl w:val="0"/>
          <w:numId w:val="17"/>
        </w:numPr>
      </w:pPr>
      <w:r>
        <w:lastRenderedPageBreak/>
        <w:t>Transmit from a single panel only</w:t>
      </w:r>
    </w:p>
    <w:p w14:paraId="1B1B2C80" w14:textId="77777777" w:rsidR="00C52A49" w:rsidRDefault="00C52A49" w:rsidP="00C52A49">
      <w:pPr>
        <w:pStyle w:val="ListParagraph"/>
        <w:numPr>
          <w:ilvl w:val="0"/>
          <w:numId w:val="17"/>
        </w:numPr>
      </w:pPr>
      <w:r>
        <w:t>Transmit coherently from multiple panels</w:t>
      </w:r>
    </w:p>
    <w:p w14:paraId="57C2825D" w14:textId="15CABDA4" w:rsidR="00C52A49" w:rsidRDefault="00C52A49" w:rsidP="00C52A49">
      <w:r>
        <w:t xml:space="preserve">With option A, coverage is severely reduced, since all the available TX power cannot be used for the transmission, since only the PAs connected to a single panel is used. Furthermore, not all available antenna area is utilized, resulting in a wider beam than necessary. This is a wasteful approach if the gNB has the capability to transmit coherently across panels. </w:t>
      </w:r>
    </w:p>
    <w:p w14:paraId="422A6E53" w14:textId="77777777" w:rsidR="00697808" w:rsidRDefault="00697808" w:rsidP="00697808">
      <w:pPr>
        <w:keepNext/>
      </w:pPr>
      <w:r>
        <w:object w:dxaOrig="11040" w:dyaOrig="4966" w14:anchorId="7AC3BC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25pt;height:132pt" o:ole="">
            <v:imagedata r:id="rId9" o:title=""/>
          </v:shape>
          <o:OLEObject Type="Embed" ProgID="Visio.Drawing.15" ShapeID="_x0000_i1025" DrawAspect="Content" ObjectID="_1580309191" r:id="rId10"/>
        </w:object>
      </w:r>
    </w:p>
    <w:p w14:paraId="1DD9F766" w14:textId="02D9DDAF" w:rsidR="00697808" w:rsidRDefault="00697808" w:rsidP="00697808">
      <w:pPr>
        <w:pStyle w:val="Caption"/>
        <w:jc w:val="both"/>
      </w:pPr>
      <w:r>
        <w:t xml:space="preserve">Figure </w:t>
      </w:r>
      <w:fldSimple w:instr=" SEQ Figure \* ARABIC ">
        <w:r>
          <w:rPr>
            <w:noProof/>
          </w:rPr>
          <w:t>1</w:t>
        </w:r>
      </w:fldSimple>
      <w:r>
        <w:t>: Dual-panel setup</w:t>
      </w:r>
    </w:p>
    <w:p w14:paraId="3DC96ED5" w14:textId="070F2A36" w:rsidR="00C52A49" w:rsidRDefault="00C52A49" w:rsidP="00C52A49">
      <w:r>
        <w:t>With option B, all TX power and antenna area is utilized, resulting in improved performance over option A. However, the gNB needs to know how to form the low-rank beam across the multiple panels. Again, there are two options:</w:t>
      </w:r>
    </w:p>
    <w:p w14:paraId="6BD2FD81" w14:textId="633D4706" w:rsidR="00C52A49" w:rsidRDefault="00C52A49" w:rsidP="00C52A49">
      <w:pPr>
        <w:pStyle w:val="ListParagraph"/>
        <w:numPr>
          <w:ilvl w:val="0"/>
          <w:numId w:val="18"/>
        </w:numPr>
      </w:pPr>
      <w:r>
        <w:t>B1: Form a set of joint beams utilizing all antenna panels and perform a second beam sweep</w:t>
      </w:r>
    </w:p>
    <w:p w14:paraId="3C9B60C4" w14:textId="221CB7CC" w:rsidR="00C52A49" w:rsidRDefault="00C52A49" w:rsidP="00C52A49">
      <w:pPr>
        <w:pStyle w:val="ListParagraph"/>
        <w:numPr>
          <w:ilvl w:val="0"/>
          <w:numId w:val="18"/>
        </w:numPr>
      </w:pPr>
      <w:r>
        <w:t>B2: Apply the best beam from the original beam sweep on all antenna panels, form a size-</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g</m:t>
            </m:r>
          </m:sub>
        </m:sSub>
      </m:oMath>
      <w:r>
        <w:t>CSI-RS resource and trigger a CSI report with a multi-panel codebook to obtain panel cophasing information</w:t>
      </w:r>
    </w:p>
    <w:p w14:paraId="40DAAA7D" w14:textId="09E3658E" w:rsidR="00C52A49" w:rsidRDefault="00C52A49" w:rsidP="00C52A49">
      <w:r>
        <w:t>With option B1,</w:t>
      </w:r>
      <w:r w:rsidR="00697808">
        <w:t xml:space="preserve"> CSI-RS overhead </w:t>
      </w:r>
      <w:r w:rsidR="00FE68B0">
        <w:t xml:space="preserve">could </w:t>
      </w:r>
      <w:r w:rsidR="00697808">
        <w:t xml:space="preserve">be quite significant </w:t>
      </w:r>
      <w:r w:rsidR="00FE68B0">
        <w:t xml:space="preserve">compared to Option B2 </w:t>
      </w:r>
      <w:r w:rsidR="00697808">
        <w:t xml:space="preserve">since a second beam sweep must be performed. Furthermore, different beam sweeps must be done for each rank hypothesis. The number of beams in the second beam sweep </w:t>
      </w:r>
      <w:r w:rsidR="00FE68B0">
        <w:t>would for instance be</w:t>
      </w:r>
      <w:r w:rsidR="00861F0C">
        <w:t xml:space="preserve"> 64 in the 4-</w:t>
      </w:r>
      <w:r w:rsidR="00FE68B0">
        <w:t xml:space="preserve">panel case to cover all beams that may be attained using option B2 (which uses QPSK pane cophase). </w:t>
      </w:r>
      <w:r w:rsidR="00697808">
        <w:t xml:space="preserve">From a technical viewpoint, option B1 would form beams in the beam sweep using both digital and analogue ports, which seems quite wasteful. Also, the optimal cophasing between antenna panels typically is more of a fast fading property than the panel beam direction, and so would have to be updated quite frequently, which would require a performing the beam sweep quite </w:t>
      </w:r>
      <w:r w:rsidR="00FE68B0">
        <w:t>often</w:t>
      </w:r>
      <w:r w:rsidR="00697808">
        <w:t>.</w:t>
      </w:r>
      <w:r w:rsidR="00FE68B0">
        <w:t xml:space="preserve"> Furthermore, the multi-panel codebook has a mode with subband panel co-phase, which cannot be accomplished by option B1 unless frequency-selective beam sweeps are </w:t>
      </w:r>
      <w:r w:rsidR="00861F0C">
        <w:t>performed</w:t>
      </w:r>
      <w:r w:rsidR="00FE68B0">
        <w:t>.</w:t>
      </w:r>
    </w:p>
    <w:p w14:paraId="1FC10684" w14:textId="647754EF" w:rsidR="00697808" w:rsidRDefault="00697808" w:rsidP="00C52A49">
      <w:r>
        <w:t xml:space="preserve">Thus, option B2 seems like the better approach since it would solve all the problems with option B1. However, this would require adding a multi-panel codebook with 2 ports / antenna panel, which is currently not agreed for NR. Fortunately, it is trivial to add support for such a codebook, we only need to </w:t>
      </w:r>
      <w:r w:rsidR="00FE68B0">
        <w:t xml:space="preserve">introduce an </w:t>
      </w:r>
      <w:r>
        <w:t>additional set of</w:t>
      </w:r>
      <w:r w:rsidR="00F61523">
        <w:t xml:space="preserve"> allowed port/panel combinations as is illustrated in Table </w:t>
      </w:r>
      <w:fldSimple w:instr=" SEQ Table \* ARABIC ">
        <w:r w:rsidR="00F61523">
          <w:rPr>
            <w:noProof/>
          </w:rPr>
          <w:t>1</w:t>
        </w:r>
      </w:fldSimple>
      <w:r w:rsidR="00F61523">
        <w:t>.</w:t>
      </w:r>
    </w:p>
    <w:p w14:paraId="3C9C2F65" w14:textId="3D74024A" w:rsidR="0080750B" w:rsidRDefault="0080750B" w:rsidP="0080750B"/>
    <w:tbl>
      <w:tblPr>
        <w:tblW w:w="3893" w:type="dxa"/>
        <w:tblInd w:w="2835" w:type="dxa"/>
        <w:tblCellMar>
          <w:left w:w="0" w:type="dxa"/>
          <w:right w:w="0" w:type="dxa"/>
        </w:tblCellMar>
        <w:tblLook w:val="06A0" w:firstRow="1" w:lastRow="0" w:firstColumn="1" w:lastColumn="0" w:noHBand="1" w:noVBand="1"/>
      </w:tblPr>
      <w:tblGrid>
        <w:gridCol w:w="1005"/>
        <w:gridCol w:w="1832"/>
        <w:gridCol w:w="1056"/>
      </w:tblGrid>
      <w:tr w:rsidR="00697808" w:rsidRPr="00004CD4" w14:paraId="05A3D183" w14:textId="77777777" w:rsidTr="00927D58">
        <w:trPr>
          <w:trHeight w:val="724"/>
        </w:trPr>
        <w:tc>
          <w:tcPr>
            <w:tcW w:w="1005" w:type="dxa"/>
            <w:tcBorders>
              <w:top w:val="single" w:sz="8" w:space="0" w:color="FFFFFF"/>
              <w:left w:val="single" w:sz="8" w:space="0" w:color="FFFFFF"/>
              <w:bottom w:val="single" w:sz="24" w:space="0" w:color="FFFFFF"/>
              <w:right w:val="single" w:sz="8" w:space="0" w:color="FFFFFF"/>
            </w:tcBorders>
            <w:shd w:val="clear" w:color="auto" w:fill="F08A00"/>
            <w:tcMar>
              <w:top w:w="13" w:type="dxa"/>
              <w:left w:w="13" w:type="dxa"/>
              <w:bottom w:w="0" w:type="dxa"/>
              <w:right w:w="13" w:type="dxa"/>
            </w:tcMar>
            <w:vAlign w:val="center"/>
            <w:hideMark/>
          </w:tcPr>
          <w:p w14:paraId="7D9B29DE" w14:textId="77777777" w:rsidR="00697808" w:rsidRPr="00004CD4" w:rsidRDefault="00697808" w:rsidP="00927D58">
            <w:pPr>
              <w:spacing w:before="60" w:after="60"/>
              <w:textAlignment w:val="bottom"/>
              <w:rPr>
                <w:rFonts w:ascii="Arial" w:hAnsi="Arial" w:cs="Arial"/>
                <w:sz w:val="18"/>
                <w:szCs w:val="36"/>
              </w:rPr>
            </w:pPr>
            <w:r w:rsidRPr="00004CD4">
              <w:rPr>
                <w:rFonts w:ascii="Arial" w:hAnsi="Arial" w:cs="Arial"/>
                <w:b/>
                <w:bCs/>
                <w:color w:val="FFFFFF"/>
                <w:kern w:val="24"/>
                <w:sz w:val="18"/>
                <w:szCs w:val="32"/>
              </w:rPr>
              <w:lastRenderedPageBreak/>
              <w:t>Number of CSI-RS ports</w:t>
            </w:r>
          </w:p>
        </w:tc>
        <w:tc>
          <w:tcPr>
            <w:tcW w:w="1832" w:type="dxa"/>
            <w:tcBorders>
              <w:top w:val="single" w:sz="8" w:space="0" w:color="FFFFFF"/>
              <w:left w:val="single" w:sz="8" w:space="0" w:color="FFFFFF"/>
              <w:bottom w:val="single" w:sz="24" w:space="0" w:color="FFFFFF"/>
              <w:right w:val="single" w:sz="8" w:space="0" w:color="FFFFFF"/>
            </w:tcBorders>
            <w:shd w:val="clear" w:color="auto" w:fill="F08A00"/>
            <w:tcMar>
              <w:top w:w="13" w:type="dxa"/>
              <w:left w:w="13" w:type="dxa"/>
              <w:bottom w:w="0" w:type="dxa"/>
              <w:right w:w="13" w:type="dxa"/>
            </w:tcMar>
            <w:vAlign w:val="center"/>
            <w:hideMark/>
          </w:tcPr>
          <w:p w14:paraId="44A21E63" w14:textId="77777777" w:rsidR="00697808" w:rsidRPr="00004CD4" w:rsidRDefault="00EA45D8" w:rsidP="00927D58">
            <w:pPr>
              <w:spacing w:before="60" w:after="60"/>
              <w:jc w:val="center"/>
              <w:textAlignment w:val="bottom"/>
              <w:rPr>
                <w:rFonts w:ascii="Arial" w:hAnsi="Arial" w:cs="Arial"/>
                <w:sz w:val="18"/>
                <w:szCs w:val="36"/>
              </w:rPr>
            </w:pPr>
            <m:oMathPara>
              <m:oMathParaPr>
                <m:jc m:val="centerGroup"/>
              </m:oMathParaPr>
              <m:oMath>
                <m:d>
                  <m:dPr>
                    <m:ctrlPr>
                      <w:rPr>
                        <w:rFonts w:ascii="Cambria Math" w:hAnsi="Cambria Math" w:cs="Arial"/>
                        <w:i/>
                        <w:iCs/>
                        <w:color w:val="FFFFFF"/>
                        <w:kern w:val="24"/>
                        <w:sz w:val="18"/>
                        <w:szCs w:val="24"/>
                        <w:lang w:val="sv-SE"/>
                      </w:rPr>
                    </m:ctrlPr>
                  </m:dPr>
                  <m:e>
                    <m:sSub>
                      <m:sSubPr>
                        <m:ctrlPr>
                          <w:rPr>
                            <w:rFonts w:ascii="Cambria Math" w:hAnsi="Cambria Math" w:cs="Arial"/>
                            <w:b/>
                            <w:bCs/>
                            <w:i/>
                            <w:iCs/>
                            <w:color w:val="FFFFFF"/>
                            <w:kern w:val="24"/>
                            <w:sz w:val="18"/>
                            <w:szCs w:val="32"/>
                            <w:lang w:val="sv-SE"/>
                          </w:rPr>
                        </m:ctrlPr>
                      </m:sSubPr>
                      <m:e>
                        <m:r>
                          <m:rPr>
                            <m:sty m:val="bi"/>
                          </m:rPr>
                          <w:rPr>
                            <w:rFonts w:ascii="Cambria Math" w:hAnsi="Cambria Math" w:cs="Arial"/>
                            <w:color w:val="FFFFFF"/>
                            <w:kern w:val="24"/>
                            <w:sz w:val="18"/>
                            <w:szCs w:val="32"/>
                          </w:rPr>
                          <m:t>N</m:t>
                        </m:r>
                      </m:e>
                      <m:sub>
                        <m:r>
                          <m:rPr>
                            <m:sty m:val="bi"/>
                          </m:rPr>
                          <w:rPr>
                            <w:rFonts w:ascii="Cambria Math" w:hAnsi="Cambria Math" w:cs="Arial"/>
                            <w:color w:val="FFFFFF"/>
                            <w:kern w:val="24"/>
                            <w:sz w:val="18"/>
                            <w:szCs w:val="32"/>
                          </w:rPr>
                          <m:t>g</m:t>
                        </m:r>
                      </m:sub>
                    </m:sSub>
                    <m:r>
                      <m:rPr>
                        <m:sty m:val="bi"/>
                      </m:rPr>
                      <w:rPr>
                        <w:rFonts w:ascii="Cambria Math" w:hAnsi="Cambria Math" w:cs="Arial"/>
                        <w:color w:val="FFFFFF"/>
                        <w:kern w:val="24"/>
                        <w:sz w:val="18"/>
                        <w:szCs w:val="32"/>
                      </w:rPr>
                      <m:t>,</m:t>
                    </m:r>
                    <m:sSub>
                      <m:sSubPr>
                        <m:ctrlPr>
                          <w:rPr>
                            <w:rFonts w:ascii="Cambria Math" w:hAnsi="Cambria Math" w:cs="Arial"/>
                            <w:b/>
                            <w:bCs/>
                            <w:i/>
                            <w:iCs/>
                            <w:color w:val="FFFFFF"/>
                            <w:kern w:val="24"/>
                            <w:sz w:val="18"/>
                            <w:szCs w:val="32"/>
                            <w:lang w:val="sv-SE"/>
                          </w:rPr>
                        </m:ctrlPr>
                      </m:sSubPr>
                      <m:e>
                        <m:r>
                          <m:rPr>
                            <m:sty m:val="bi"/>
                          </m:rPr>
                          <w:rPr>
                            <w:rFonts w:ascii="Cambria Math" w:hAnsi="Cambria Math" w:cs="Arial"/>
                            <w:color w:val="FFFFFF"/>
                            <w:kern w:val="24"/>
                            <w:sz w:val="18"/>
                            <w:szCs w:val="32"/>
                            <w:lang w:val="sv-SE"/>
                          </w:rPr>
                          <m:t>N</m:t>
                        </m:r>
                      </m:e>
                      <m:sub>
                        <m:r>
                          <m:rPr>
                            <m:sty m:val="bi"/>
                          </m:rPr>
                          <w:rPr>
                            <w:rFonts w:ascii="Cambria Math" w:hAnsi="Cambria Math" w:cs="Arial"/>
                            <w:color w:val="FFFFFF"/>
                            <w:kern w:val="24"/>
                            <w:sz w:val="18"/>
                            <w:szCs w:val="32"/>
                            <w:lang w:val="sv-SE"/>
                          </w:rPr>
                          <m:t>1</m:t>
                        </m:r>
                      </m:sub>
                    </m:sSub>
                    <m:r>
                      <m:rPr>
                        <m:sty m:val="bi"/>
                      </m:rPr>
                      <w:rPr>
                        <w:rFonts w:ascii="Cambria Math" w:hAnsi="Cambria Math" w:cs="Arial"/>
                        <w:color w:val="FFFFFF"/>
                        <w:kern w:val="24"/>
                        <w:sz w:val="18"/>
                        <w:szCs w:val="32"/>
                      </w:rPr>
                      <m:t>,</m:t>
                    </m:r>
                    <m:sSub>
                      <m:sSubPr>
                        <m:ctrlPr>
                          <w:rPr>
                            <w:rFonts w:ascii="Cambria Math" w:hAnsi="Cambria Math" w:cs="Arial"/>
                            <w:b/>
                            <w:bCs/>
                            <w:i/>
                            <w:iCs/>
                            <w:color w:val="FFFFFF"/>
                            <w:kern w:val="24"/>
                            <w:sz w:val="18"/>
                            <w:szCs w:val="32"/>
                            <w:lang w:val="sv-SE"/>
                          </w:rPr>
                        </m:ctrlPr>
                      </m:sSubPr>
                      <m:e>
                        <m:r>
                          <m:rPr>
                            <m:sty m:val="bi"/>
                          </m:rPr>
                          <w:rPr>
                            <w:rFonts w:ascii="Cambria Math" w:hAnsi="Cambria Math" w:cs="Arial"/>
                            <w:color w:val="FFFFFF"/>
                            <w:kern w:val="24"/>
                            <w:sz w:val="18"/>
                            <w:szCs w:val="32"/>
                            <w:lang w:val="sv-SE"/>
                          </w:rPr>
                          <m:t>N</m:t>
                        </m:r>
                      </m:e>
                      <m:sub>
                        <m:r>
                          <m:rPr>
                            <m:sty m:val="bi"/>
                          </m:rPr>
                          <w:rPr>
                            <w:rFonts w:ascii="Cambria Math" w:hAnsi="Cambria Math" w:cs="Arial"/>
                            <w:color w:val="FFFFFF"/>
                            <w:kern w:val="24"/>
                            <w:sz w:val="18"/>
                            <w:szCs w:val="32"/>
                          </w:rPr>
                          <m:t>2</m:t>
                        </m:r>
                      </m:sub>
                    </m:sSub>
                  </m:e>
                </m:d>
              </m:oMath>
            </m:oMathPara>
          </w:p>
        </w:tc>
        <w:tc>
          <w:tcPr>
            <w:tcW w:w="1056" w:type="dxa"/>
            <w:tcBorders>
              <w:top w:val="single" w:sz="8" w:space="0" w:color="FFFFFF"/>
              <w:left w:val="single" w:sz="8" w:space="0" w:color="FFFFFF"/>
              <w:bottom w:val="single" w:sz="24" w:space="0" w:color="FFFFFF"/>
              <w:right w:val="single" w:sz="8" w:space="0" w:color="FFFFFF"/>
            </w:tcBorders>
            <w:shd w:val="clear" w:color="auto" w:fill="F08A00"/>
            <w:tcMar>
              <w:top w:w="13" w:type="dxa"/>
              <w:left w:w="13" w:type="dxa"/>
              <w:bottom w:w="0" w:type="dxa"/>
              <w:right w:w="13" w:type="dxa"/>
            </w:tcMar>
            <w:vAlign w:val="center"/>
            <w:hideMark/>
          </w:tcPr>
          <w:p w14:paraId="1A7495CE" w14:textId="77777777" w:rsidR="00697808" w:rsidRPr="00004CD4" w:rsidRDefault="00EA45D8" w:rsidP="00927D58">
            <w:pPr>
              <w:spacing w:before="60" w:after="60"/>
              <w:jc w:val="center"/>
              <w:textAlignment w:val="bottom"/>
              <w:rPr>
                <w:rFonts w:ascii="Arial" w:hAnsi="Arial" w:cs="Arial"/>
                <w:sz w:val="18"/>
                <w:szCs w:val="36"/>
              </w:rPr>
            </w:pPr>
            <m:oMathPara>
              <m:oMathParaPr>
                <m:jc m:val="centerGroup"/>
              </m:oMathParaPr>
              <m:oMath>
                <m:d>
                  <m:dPr>
                    <m:ctrlPr>
                      <w:rPr>
                        <w:rFonts w:ascii="Cambria Math" w:hAnsi="Cambria Math" w:cs="Arial"/>
                        <w:b/>
                        <w:bCs/>
                        <w:i/>
                        <w:iCs/>
                        <w:color w:val="FFFFFF"/>
                        <w:kern w:val="24"/>
                        <w:sz w:val="18"/>
                        <w:szCs w:val="32"/>
                        <w:lang w:val="sv-SE"/>
                      </w:rPr>
                    </m:ctrlPr>
                  </m:dPr>
                  <m:e>
                    <m:sSub>
                      <m:sSubPr>
                        <m:ctrlPr>
                          <w:rPr>
                            <w:rFonts w:ascii="Cambria Math" w:hAnsi="Cambria Math" w:cs="Arial"/>
                            <w:b/>
                            <w:bCs/>
                            <w:i/>
                            <w:iCs/>
                            <w:color w:val="FFFFFF"/>
                            <w:kern w:val="24"/>
                            <w:sz w:val="18"/>
                            <w:szCs w:val="32"/>
                            <w:lang w:val="sv-SE"/>
                          </w:rPr>
                        </m:ctrlPr>
                      </m:sSubPr>
                      <m:e>
                        <m:r>
                          <m:rPr>
                            <m:sty m:val="bi"/>
                          </m:rPr>
                          <w:rPr>
                            <w:rFonts w:ascii="Cambria Math" w:hAnsi="Cambria Math" w:cs="Arial"/>
                            <w:color w:val="FFFFFF"/>
                            <w:kern w:val="24"/>
                            <w:sz w:val="18"/>
                            <w:szCs w:val="32"/>
                          </w:rPr>
                          <m:t>O</m:t>
                        </m:r>
                      </m:e>
                      <m:sub>
                        <m:r>
                          <m:rPr>
                            <m:sty m:val="bi"/>
                          </m:rPr>
                          <w:rPr>
                            <w:rFonts w:ascii="Cambria Math" w:hAnsi="Cambria Math" w:cs="Arial"/>
                            <w:color w:val="FFFFFF"/>
                            <w:kern w:val="24"/>
                            <w:sz w:val="18"/>
                            <w:szCs w:val="32"/>
                            <w:lang w:val="sv-SE"/>
                          </w:rPr>
                          <m:t>1</m:t>
                        </m:r>
                      </m:sub>
                    </m:sSub>
                    <m:r>
                      <m:rPr>
                        <m:sty m:val="bi"/>
                      </m:rPr>
                      <w:rPr>
                        <w:rFonts w:ascii="Cambria Math" w:hAnsi="Cambria Math" w:cs="Arial"/>
                        <w:color w:val="FFFFFF"/>
                        <w:kern w:val="24"/>
                        <w:sz w:val="18"/>
                        <w:szCs w:val="32"/>
                      </w:rPr>
                      <m:t>,</m:t>
                    </m:r>
                    <m:sSub>
                      <m:sSubPr>
                        <m:ctrlPr>
                          <w:rPr>
                            <w:rFonts w:ascii="Cambria Math" w:hAnsi="Cambria Math" w:cs="Arial"/>
                            <w:b/>
                            <w:bCs/>
                            <w:i/>
                            <w:iCs/>
                            <w:color w:val="FFFFFF"/>
                            <w:kern w:val="24"/>
                            <w:sz w:val="18"/>
                            <w:szCs w:val="32"/>
                            <w:lang w:val="sv-SE"/>
                          </w:rPr>
                        </m:ctrlPr>
                      </m:sSubPr>
                      <m:e>
                        <m:r>
                          <m:rPr>
                            <m:sty m:val="bi"/>
                          </m:rPr>
                          <w:rPr>
                            <w:rFonts w:ascii="Cambria Math" w:hAnsi="Cambria Math" w:cs="Arial"/>
                            <w:color w:val="FFFFFF"/>
                            <w:kern w:val="24"/>
                            <w:sz w:val="18"/>
                            <w:szCs w:val="32"/>
                          </w:rPr>
                          <m:t>O</m:t>
                        </m:r>
                      </m:e>
                      <m:sub>
                        <m:r>
                          <m:rPr>
                            <m:sty m:val="bi"/>
                          </m:rPr>
                          <w:rPr>
                            <w:rFonts w:ascii="Cambria Math" w:hAnsi="Cambria Math" w:cs="Arial"/>
                            <w:color w:val="FFFFFF"/>
                            <w:kern w:val="24"/>
                            <w:sz w:val="18"/>
                            <w:szCs w:val="32"/>
                          </w:rPr>
                          <m:t>2</m:t>
                        </m:r>
                      </m:sub>
                    </m:sSub>
                  </m:e>
                </m:d>
                <m:r>
                  <m:rPr>
                    <m:sty m:val="bi"/>
                  </m:rPr>
                  <w:rPr>
                    <w:rFonts w:ascii="Cambria Math" w:hAnsi="Cambria Math" w:cs="Arial"/>
                    <w:color w:val="FFFFFF"/>
                    <w:kern w:val="24"/>
                    <w:sz w:val="18"/>
                    <w:szCs w:val="32"/>
                  </w:rPr>
                  <m:t> </m:t>
                </m:r>
              </m:oMath>
            </m:oMathPara>
          </w:p>
        </w:tc>
      </w:tr>
      <w:tr w:rsidR="00697808" w:rsidRPr="00004CD4" w14:paraId="56086B5E" w14:textId="77777777" w:rsidTr="00927D58">
        <w:trPr>
          <w:trHeight w:val="196"/>
        </w:trPr>
        <w:tc>
          <w:tcPr>
            <w:tcW w:w="1005" w:type="dxa"/>
            <w:tcBorders>
              <w:top w:val="single" w:sz="24" w:space="0" w:color="FFFFFF"/>
              <w:left w:val="single" w:sz="8" w:space="0" w:color="FFFFFF"/>
              <w:bottom w:val="single" w:sz="8" w:space="0" w:color="FFFFFF"/>
              <w:right w:val="single" w:sz="8" w:space="0" w:color="FFFFFF"/>
            </w:tcBorders>
            <w:shd w:val="clear" w:color="auto" w:fill="F08A00"/>
            <w:tcMar>
              <w:top w:w="13" w:type="dxa"/>
              <w:left w:w="13" w:type="dxa"/>
              <w:bottom w:w="0" w:type="dxa"/>
              <w:right w:w="13" w:type="dxa"/>
            </w:tcMar>
            <w:vAlign w:val="center"/>
          </w:tcPr>
          <w:p w14:paraId="3C558DEE" w14:textId="73664D7C" w:rsidR="00697808" w:rsidRPr="00004CD4" w:rsidRDefault="00697808" w:rsidP="00927D58">
            <w:pPr>
              <w:spacing w:before="60" w:after="60"/>
              <w:jc w:val="center"/>
              <w:textAlignment w:val="bottom"/>
              <w:rPr>
                <w:rFonts w:ascii="Arial" w:hAnsi="Arial" w:cs="Arial"/>
                <w:b/>
                <w:bCs/>
                <w:color w:val="FFFFFF"/>
                <w:kern w:val="24"/>
                <w:sz w:val="18"/>
                <w:szCs w:val="32"/>
              </w:rPr>
            </w:pPr>
            <w:r>
              <w:rPr>
                <w:rFonts w:ascii="Arial" w:hAnsi="Arial" w:cs="Arial"/>
                <w:b/>
                <w:bCs/>
                <w:color w:val="FFFFFF"/>
                <w:kern w:val="24"/>
                <w:sz w:val="18"/>
                <w:szCs w:val="32"/>
              </w:rPr>
              <w:t>4</w:t>
            </w:r>
          </w:p>
        </w:tc>
        <w:tc>
          <w:tcPr>
            <w:tcW w:w="1832" w:type="dxa"/>
            <w:tcBorders>
              <w:top w:val="single" w:sz="24"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tcPr>
          <w:p w14:paraId="3932C83D" w14:textId="00879F4C" w:rsidR="00697808" w:rsidRPr="00F61523" w:rsidRDefault="00697808" w:rsidP="00927D58">
            <w:pPr>
              <w:spacing w:before="60" w:after="60"/>
              <w:jc w:val="center"/>
              <w:textAlignment w:val="bottom"/>
              <w:rPr>
                <w:rFonts w:ascii="Arial" w:hAnsi="Arial" w:cs="Arial"/>
                <w:b/>
                <w:color w:val="00285E"/>
                <w:kern w:val="24"/>
                <w:sz w:val="18"/>
                <w:szCs w:val="32"/>
              </w:rPr>
            </w:pPr>
            <w:r w:rsidRPr="00F61523">
              <w:rPr>
                <w:rFonts w:ascii="Arial" w:hAnsi="Arial" w:cs="Arial"/>
                <w:b/>
                <w:color w:val="FF0000"/>
                <w:kern w:val="24"/>
                <w:sz w:val="18"/>
                <w:szCs w:val="32"/>
              </w:rPr>
              <w:t>(2,1,1)</w:t>
            </w:r>
          </w:p>
        </w:tc>
        <w:tc>
          <w:tcPr>
            <w:tcW w:w="1056" w:type="dxa"/>
            <w:tcBorders>
              <w:top w:val="single" w:sz="24"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tcPr>
          <w:p w14:paraId="6C38B1C3" w14:textId="49792E77" w:rsidR="00697808" w:rsidRPr="00004CD4" w:rsidRDefault="00697808" w:rsidP="00927D58">
            <w:pPr>
              <w:spacing w:before="60" w:after="60"/>
              <w:jc w:val="center"/>
              <w:textAlignment w:val="bottom"/>
              <w:rPr>
                <w:rFonts w:ascii="Arial" w:hAnsi="Arial" w:cs="Arial"/>
                <w:color w:val="00285E"/>
                <w:kern w:val="24"/>
                <w:sz w:val="18"/>
                <w:szCs w:val="32"/>
              </w:rPr>
            </w:pPr>
            <w:r>
              <w:rPr>
                <w:rFonts w:ascii="Arial" w:hAnsi="Arial" w:cs="Arial"/>
                <w:color w:val="00285E"/>
                <w:kern w:val="24"/>
                <w:sz w:val="18"/>
                <w:szCs w:val="32"/>
              </w:rPr>
              <w:t>(-,-)</w:t>
            </w:r>
          </w:p>
        </w:tc>
      </w:tr>
      <w:tr w:rsidR="00697808" w:rsidRPr="00004CD4" w14:paraId="1951ECB8" w14:textId="77777777" w:rsidTr="00927D58">
        <w:trPr>
          <w:trHeight w:val="196"/>
        </w:trPr>
        <w:tc>
          <w:tcPr>
            <w:tcW w:w="1005" w:type="dxa"/>
            <w:tcBorders>
              <w:top w:val="single" w:sz="24" w:space="0" w:color="FFFFFF"/>
              <w:left w:val="single" w:sz="8" w:space="0" w:color="FFFFFF"/>
              <w:bottom w:val="single" w:sz="8" w:space="0" w:color="FFFFFF"/>
              <w:right w:val="single" w:sz="8" w:space="0" w:color="FFFFFF"/>
            </w:tcBorders>
            <w:shd w:val="clear" w:color="auto" w:fill="F08A00"/>
            <w:tcMar>
              <w:top w:w="13" w:type="dxa"/>
              <w:left w:w="13" w:type="dxa"/>
              <w:bottom w:w="0" w:type="dxa"/>
              <w:right w:w="13" w:type="dxa"/>
            </w:tcMar>
            <w:vAlign w:val="center"/>
            <w:hideMark/>
          </w:tcPr>
          <w:p w14:paraId="78A9419D" w14:textId="77777777" w:rsidR="00697808" w:rsidRPr="00004CD4" w:rsidRDefault="00697808" w:rsidP="00927D58">
            <w:pPr>
              <w:spacing w:before="60" w:after="60"/>
              <w:jc w:val="center"/>
              <w:textAlignment w:val="bottom"/>
              <w:rPr>
                <w:rFonts w:ascii="Arial" w:hAnsi="Arial" w:cs="Arial"/>
                <w:sz w:val="18"/>
                <w:szCs w:val="36"/>
              </w:rPr>
            </w:pPr>
            <w:r w:rsidRPr="00004CD4">
              <w:rPr>
                <w:rFonts w:ascii="Arial" w:hAnsi="Arial" w:cs="Arial"/>
                <w:b/>
                <w:bCs/>
                <w:color w:val="FFFFFF"/>
                <w:kern w:val="24"/>
                <w:sz w:val="18"/>
                <w:szCs w:val="32"/>
              </w:rPr>
              <w:t>8</w:t>
            </w:r>
          </w:p>
        </w:tc>
        <w:tc>
          <w:tcPr>
            <w:tcW w:w="1832" w:type="dxa"/>
            <w:tcBorders>
              <w:top w:val="single" w:sz="24"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3D51A171" w14:textId="77777777" w:rsidR="00697808" w:rsidRDefault="00697808" w:rsidP="00927D58">
            <w:pPr>
              <w:spacing w:before="60" w:after="60"/>
              <w:jc w:val="center"/>
              <w:textAlignment w:val="bottom"/>
              <w:rPr>
                <w:rFonts w:ascii="Arial" w:hAnsi="Arial" w:cs="Arial"/>
                <w:color w:val="00285E"/>
                <w:kern w:val="24"/>
                <w:sz w:val="18"/>
                <w:szCs w:val="32"/>
              </w:rPr>
            </w:pPr>
            <w:r w:rsidRPr="00004CD4">
              <w:rPr>
                <w:rFonts w:ascii="Arial" w:hAnsi="Arial" w:cs="Arial"/>
                <w:color w:val="00285E"/>
                <w:kern w:val="24"/>
                <w:sz w:val="18"/>
                <w:szCs w:val="32"/>
              </w:rPr>
              <w:t>(2,2,1)</w:t>
            </w:r>
          </w:p>
          <w:p w14:paraId="104718A0" w14:textId="65203976" w:rsidR="00697808" w:rsidRPr="00004CD4" w:rsidRDefault="00F61523" w:rsidP="00927D58">
            <w:pPr>
              <w:spacing w:before="60" w:after="60"/>
              <w:jc w:val="center"/>
              <w:textAlignment w:val="bottom"/>
              <w:rPr>
                <w:rFonts w:ascii="Arial" w:hAnsi="Arial" w:cs="Arial"/>
                <w:b/>
                <w:sz w:val="18"/>
                <w:szCs w:val="36"/>
              </w:rPr>
            </w:pPr>
            <w:r w:rsidRPr="00F61523">
              <w:rPr>
                <w:rFonts w:ascii="Arial" w:hAnsi="Arial" w:cs="Arial"/>
                <w:b/>
                <w:color w:val="FF0000"/>
                <w:kern w:val="24"/>
                <w:sz w:val="18"/>
                <w:szCs w:val="32"/>
              </w:rPr>
              <w:t>(4,1,1)</w:t>
            </w:r>
          </w:p>
        </w:tc>
        <w:tc>
          <w:tcPr>
            <w:tcW w:w="1056" w:type="dxa"/>
            <w:tcBorders>
              <w:top w:val="single" w:sz="24"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3A1AA558" w14:textId="77777777" w:rsidR="00697808" w:rsidRDefault="00697808" w:rsidP="00927D58">
            <w:pPr>
              <w:spacing w:before="60" w:after="60"/>
              <w:jc w:val="center"/>
              <w:textAlignment w:val="bottom"/>
              <w:rPr>
                <w:rFonts w:ascii="Arial" w:hAnsi="Arial" w:cs="Arial"/>
                <w:color w:val="00285E"/>
                <w:kern w:val="24"/>
                <w:sz w:val="18"/>
                <w:szCs w:val="32"/>
              </w:rPr>
            </w:pPr>
            <w:r w:rsidRPr="00004CD4">
              <w:rPr>
                <w:rFonts w:ascii="Arial" w:hAnsi="Arial" w:cs="Arial"/>
                <w:color w:val="00285E"/>
                <w:kern w:val="24"/>
                <w:sz w:val="18"/>
                <w:szCs w:val="32"/>
              </w:rPr>
              <w:t>(4,-)</w:t>
            </w:r>
          </w:p>
          <w:p w14:paraId="12887DE1" w14:textId="04C30113" w:rsidR="00F61523" w:rsidRPr="00004CD4" w:rsidRDefault="00F61523" w:rsidP="00927D58">
            <w:pPr>
              <w:spacing w:before="60" w:after="60"/>
              <w:jc w:val="center"/>
              <w:textAlignment w:val="bottom"/>
              <w:rPr>
                <w:rFonts w:ascii="Arial" w:hAnsi="Arial" w:cs="Arial"/>
                <w:sz w:val="18"/>
                <w:szCs w:val="36"/>
              </w:rPr>
            </w:pPr>
            <w:r>
              <w:rPr>
                <w:rFonts w:ascii="Arial" w:hAnsi="Arial" w:cs="Arial"/>
                <w:color w:val="00285E"/>
                <w:kern w:val="24"/>
                <w:sz w:val="18"/>
                <w:szCs w:val="32"/>
              </w:rPr>
              <w:t>(-,-)</w:t>
            </w:r>
          </w:p>
        </w:tc>
      </w:tr>
      <w:tr w:rsidR="00697808" w:rsidRPr="00004CD4" w14:paraId="7A57CA42" w14:textId="77777777" w:rsidTr="00927D58">
        <w:trPr>
          <w:trHeight w:val="189"/>
        </w:trPr>
        <w:tc>
          <w:tcPr>
            <w:tcW w:w="1005" w:type="dxa"/>
            <w:vMerge w:val="restart"/>
            <w:tcBorders>
              <w:top w:val="single" w:sz="8" w:space="0" w:color="FFFFFF"/>
              <w:left w:val="single" w:sz="8" w:space="0" w:color="FFFFFF"/>
              <w:bottom w:val="single" w:sz="8" w:space="0" w:color="FFFFFF"/>
              <w:right w:val="single" w:sz="8" w:space="0" w:color="FFFFFF"/>
            </w:tcBorders>
            <w:shd w:val="clear" w:color="auto" w:fill="F08A00"/>
            <w:tcMar>
              <w:top w:w="13" w:type="dxa"/>
              <w:left w:w="13" w:type="dxa"/>
              <w:bottom w:w="0" w:type="dxa"/>
              <w:right w:w="13" w:type="dxa"/>
            </w:tcMar>
            <w:vAlign w:val="center"/>
            <w:hideMark/>
          </w:tcPr>
          <w:p w14:paraId="76F3095C" w14:textId="77777777" w:rsidR="00697808" w:rsidRPr="00004CD4" w:rsidRDefault="00697808" w:rsidP="00927D58">
            <w:pPr>
              <w:spacing w:before="60" w:after="60"/>
              <w:jc w:val="center"/>
              <w:textAlignment w:val="bottom"/>
              <w:rPr>
                <w:rFonts w:ascii="Arial" w:hAnsi="Arial" w:cs="Arial"/>
                <w:sz w:val="18"/>
                <w:szCs w:val="36"/>
              </w:rPr>
            </w:pPr>
            <w:r w:rsidRPr="00004CD4">
              <w:rPr>
                <w:rFonts w:ascii="Arial" w:hAnsi="Arial" w:cs="Arial"/>
                <w:b/>
                <w:bCs/>
                <w:color w:val="FFFFFF"/>
                <w:kern w:val="24"/>
                <w:sz w:val="18"/>
                <w:szCs w:val="32"/>
              </w:rPr>
              <w:t>16</w:t>
            </w:r>
          </w:p>
        </w:tc>
        <w:tc>
          <w:tcPr>
            <w:tcW w:w="1832"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64BB094D" w14:textId="77777777" w:rsidR="00697808" w:rsidRPr="00004CD4" w:rsidRDefault="00697808" w:rsidP="00927D58">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(2,2,2)</w:t>
            </w:r>
          </w:p>
        </w:tc>
        <w:tc>
          <w:tcPr>
            <w:tcW w:w="1056"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7660CAFA" w14:textId="77777777" w:rsidR="00697808" w:rsidRPr="00004CD4" w:rsidRDefault="00697808" w:rsidP="00927D58">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(4,4)</w:t>
            </w:r>
          </w:p>
        </w:tc>
      </w:tr>
      <w:tr w:rsidR="00697808" w:rsidRPr="00004CD4" w14:paraId="69373559" w14:textId="77777777" w:rsidTr="00927D58">
        <w:trPr>
          <w:trHeight w:val="156"/>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4F7467B" w14:textId="77777777" w:rsidR="00697808" w:rsidRPr="00004CD4" w:rsidRDefault="00697808" w:rsidP="00927D58">
            <w:pPr>
              <w:spacing w:after="0"/>
              <w:rPr>
                <w:rFonts w:ascii="Arial" w:hAnsi="Arial" w:cs="Arial"/>
                <w:sz w:val="18"/>
                <w:szCs w:val="36"/>
              </w:rPr>
            </w:pPr>
          </w:p>
        </w:tc>
        <w:tc>
          <w:tcPr>
            <w:tcW w:w="1832"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6D57A3F0" w14:textId="77777777" w:rsidR="00697808" w:rsidRPr="00004CD4" w:rsidRDefault="00697808" w:rsidP="00927D58">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(2,4,1), (4,2,1)</w:t>
            </w:r>
          </w:p>
        </w:tc>
        <w:tc>
          <w:tcPr>
            <w:tcW w:w="1056"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5639246C" w14:textId="77777777" w:rsidR="00697808" w:rsidRPr="00004CD4" w:rsidRDefault="00697808" w:rsidP="00927D58">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(4,-)</w:t>
            </w:r>
          </w:p>
        </w:tc>
      </w:tr>
      <w:tr w:rsidR="00697808" w:rsidRPr="00004CD4" w14:paraId="0A7643C5" w14:textId="77777777" w:rsidTr="00927D58">
        <w:trPr>
          <w:trHeight w:val="124"/>
        </w:trPr>
        <w:tc>
          <w:tcPr>
            <w:tcW w:w="1005" w:type="dxa"/>
            <w:vMerge w:val="restart"/>
            <w:tcBorders>
              <w:top w:val="single" w:sz="8" w:space="0" w:color="FFFFFF"/>
              <w:left w:val="single" w:sz="8" w:space="0" w:color="FFFFFF"/>
              <w:bottom w:val="single" w:sz="8" w:space="0" w:color="FFFFFF"/>
              <w:right w:val="single" w:sz="8" w:space="0" w:color="FFFFFF"/>
            </w:tcBorders>
            <w:shd w:val="clear" w:color="auto" w:fill="F08A00"/>
            <w:tcMar>
              <w:top w:w="13" w:type="dxa"/>
              <w:left w:w="13" w:type="dxa"/>
              <w:bottom w:w="0" w:type="dxa"/>
              <w:right w:w="13" w:type="dxa"/>
            </w:tcMar>
            <w:vAlign w:val="center"/>
            <w:hideMark/>
          </w:tcPr>
          <w:p w14:paraId="060689AD" w14:textId="77777777" w:rsidR="00697808" w:rsidRPr="00004CD4" w:rsidRDefault="00697808" w:rsidP="00927D58">
            <w:pPr>
              <w:spacing w:before="60" w:after="60"/>
              <w:jc w:val="center"/>
              <w:textAlignment w:val="bottom"/>
              <w:rPr>
                <w:rFonts w:ascii="Arial" w:hAnsi="Arial" w:cs="Arial"/>
                <w:sz w:val="18"/>
                <w:szCs w:val="36"/>
              </w:rPr>
            </w:pPr>
            <w:r w:rsidRPr="00004CD4">
              <w:rPr>
                <w:rFonts w:ascii="Arial" w:hAnsi="Arial" w:cs="Arial"/>
                <w:b/>
                <w:bCs/>
                <w:color w:val="FFFFFF"/>
                <w:kern w:val="24"/>
                <w:sz w:val="18"/>
                <w:szCs w:val="32"/>
              </w:rPr>
              <w:t>32</w:t>
            </w:r>
          </w:p>
        </w:tc>
        <w:tc>
          <w:tcPr>
            <w:tcW w:w="1832"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43DC6C5E" w14:textId="77777777" w:rsidR="00697808" w:rsidRPr="00004CD4" w:rsidRDefault="00697808" w:rsidP="00927D58">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(2,4,2), (4,2,2)</w:t>
            </w:r>
          </w:p>
        </w:tc>
        <w:tc>
          <w:tcPr>
            <w:tcW w:w="1056"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7A3626AA" w14:textId="77777777" w:rsidR="00697808" w:rsidRPr="00004CD4" w:rsidRDefault="00697808" w:rsidP="00927D58">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(4,4)</w:t>
            </w:r>
          </w:p>
        </w:tc>
      </w:tr>
      <w:tr w:rsidR="00697808" w:rsidRPr="00004CD4" w14:paraId="5BBBFBD0" w14:textId="77777777" w:rsidTr="00927D58">
        <w:trPr>
          <w:trHeight w:val="156"/>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612815A" w14:textId="77777777" w:rsidR="00697808" w:rsidRPr="00004CD4" w:rsidRDefault="00697808" w:rsidP="00927D58">
            <w:pPr>
              <w:spacing w:after="0"/>
              <w:rPr>
                <w:rFonts w:ascii="Arial" w:hAnsi="Arial" w:cs="Arial"/>
                <w:sz w:val="18"/>
                <w:szCs w:val="36"/>
              </w:rPr>
            </w:pPr>
          </w:p>
        </w:tc>
        <w:tc>
          <w:tcPr>
            <w:tcW w:w="1832"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3EF96104" w14:textId="77777777" w:rsidR="00697808" w:rsidRPr="00004CD4" w:rsidRDefault="00697808" w:rsidP="00927D58">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(2,8,1), (4,4,1)</w:t>
            </w:r>
          </w:p>
        </w:tc>
        <w:tc>
          <w:tcPr>
            <w:tcW w:w="1056"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000BB218" w14:textId="77777777" w:rsidR="00697808" w:rsidRPr="00004CD4" w:rsidRDefault="00697808" w:rsidP="00697808">
            <w:pPr>
              <w:keepNext/>
              <w:spacing w:before="60" w:after="60"/>
              <w:jc w:val="center"/>
              <w:textAlignment w:val="bottom"/>
              <w:rPr>
                <w:rFonts w:ascii="Arial" w:hAnsi="Arial" w:cs="Arial"/>
                <w:sz w:val="18"/>
                <w:szCs w:val="36"/>
              </w:rPr>
            </w:pPr>
            <w:r w:rsidRPr="00004CD4">
              <w:rPr>
                <w:rFonts w:ascii="Arial" w:hAnsi="Arial" w:cs="Arial"/>
                <w:color w:val="00285E"/>
                <w:kern w:val="24"/>
                <w:sz w:val="18"/>
                <w:szCs w:val="32"/>
              </w:rPr>
              <w:t>(4,-)</w:t>
            </w:r>
          </w:p>
        </w:tc>
      </w:tr>
    </w:tbl>
    <w:p w14:paraId="26889E49" w14:textId="2669BC32" w:rsidR="00697808" w:rsidRPr="0080750B" w:rsidRDefault="00697808" w:rsidP="00697808">
      <w:pPr>
        <w:pStyle w:val="Caption"/>
      </w:pPr>
      <w:r>
        <w:t xml:space="preserve">Table </w:t>
      </w:r>
      <w:fldSimple w:instr=" SEQ Table \* ARABIC ">
        <w:r>
          <w:rPr>
            <w:noProof/>
          </w:rPr>
          <w:t>1</w:t>
        </w:r>
      </w:fldSimple>
      <w:r>
        <w:t>: Proposed new allowed port/panel layouts for multi-panel codebook</w:t>
      </w:r>
    </w:p>
    <w:p w14:paraId="1F2B2B8D" w14:textId="7319D051" w:rsidR="003A0E41" w:rsidRPr="00A17376" w:rsidRDefault="00F61523" w:rsidP="00F61523">
      <w:pPr>
        <w:pStyle w:val="Proposal"/>
      </w:pPr>
      <w:bookmarkStart w:id="0" w:name="_Toc490138779"/>
      <w:bookmarkStart w:id="1" w:name="_Toc490728683"/>
      <w:r>
        <w:t xml:space="preserve">The allowed panel/port layouts in the multi-panel Type I codebook are extended with </w:t>
      </w:r>
      <m:oMath>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g</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2</m:t>
            </m:r>
          </m:sub>
        </m:sSub>
        <m:r>
          <m:rPr>
            <m:sty m:val="bi"/>
          </m:rPr>
          <w:rPr>
            <w:rFonts w:ascii="Cambria Math" w:hAnsi="Cambria Math"/>
          </w:rPr>
          <m:t>)={</m:t>
        </m:r>
        <m:d>
          <m:dPr>
            <m:ctrlPr>
              <w:rPr>
                <w:rFonts w:ascii="Cambria Math" w:hAnsi="Cambria Math"/>
                <w:i/>
              </w:rPr>
            </m:ctrlPr>
          </m:dPr>
          <m:e>
            <m:r>
              <m:rPr>
                <m:sty m:val="bi"/>
              </m:rPr>
              <w:rPr>
                <w:rFonts w:ascii="Cambria Math" w:hAnsi="Cambria Math"/>
              </w:rPr>
              <m:t>2,1,1</m:t>
            </m:r>
          </m:e>
        </m:d>
        <m:r>
          <m:rPr>
            <m:sty m:val="bi"/>
          </m:rPr>
          <w:rPr>
            <w:rFonts w:ascii="Cambria Math" w:hAnsi="Cambria Math"/>
          </w:rPr>
          <m:t>,(4,1,1) }</m:t>
        </m:r>
      </m:oMath>
      <w:bookmarkEnd w:id="0"/>
      <w:bookmarkEnd w:id="1"/>
    </w:p>
    <w:p w14:paraId="4059AE62" w14:textId="0558ABC9" w:rsidR="00A17376" w:rsidRDefault="00A17376" w:rsidP="00A17376">
      <w:pPr>
        <w:pStyle w:val="BodyText"/>
      </w:pPr>
      <w:r>
        <w:t xml:space="preserve">For the rank-1 and rank-2 codebooks, no further spec-change is required since the quantity </w:t>
      </w:r>
      <m:oMath>
        <m:sSub>
          <m:sSubPr>
            <m:ctrlPr>
              <w:rPr>
                <w:rFonts w:ascii="Cambria Math" w:hAnsi="Cambria Math"/>
                <w:i/>
              </w:rPr>
            </m:ctrlPr>
          </m:sSubPr>
          <m:e>
            <m:r>
              <w:rPr>
                <w:rFonts w:ascii="Cambria Math" w:hAnsi="Cambria Math"/>
              </w:rPr>
              <m:t>v</m:t>
            </m:r>
          </m:e>
          <m:sub>
            <m:r>
              <w:rPr>
                <w:rFonts w:ascii="Cambria Math" w:hAnsi="Cambria Math"/>
              </w:rPr>
              <m:t>l,m</m:t>
            </m:r>
          </m:sub>
        </m:sSub>
        <m:r>
          <w:rPr>
            <w:rFonts w:ascii="Cambria Math" w:eastAsiaTheme="minorEastAsia" w:hAnsi="Cambria Math"/>
          </w:rPr>
          <m:t>=1</m:t>
        </m:r>
      </m:oMath>
      <w:r>
        <w:t xml:space="preserve"> in the 2 port/panel case in the codebook formula below:</w:t>
      </w:r>
    </w:p>
    <w:p w14:paraId="143C34FE" w14:textId="35C2F89D" w:rsidR="00A17376" w:rsidRDefault="00A17376" w:rsidP="00A17376">
      <w:pPr>
        <w:pStyle w:val="BodyText"/>
        <w:ind w:left="2268"/>
        <w:rPr>
          <w:rFonts w:ascii="Times New Roman" w:eastAsia="Times New Roman" w:hAnsi="Times New Roman" w:cs="Times New Roman"/>
          <w:color w:val="ED7D31"/>
          <w:sz w:val="20"/>
          <w:szCs w:val="20"/>
          <w:lang w:val="en-GB"/>
        </w:rPr>
      </w:pPr>
      <w:r>
        <w:rPr>
          <w:rFonts w:ascii="Times New Roman" w:eastAsia="Times New Roman" w:hAnsi="Times New Roman" w:cs="Times New Roman"/>
          <w:color w:val="ED7D31"/>
          <w:position w:val="-194"/>
          <w:sz w:val="20"/>
          <w:szCs w:val="20"/>
          <w:lang w:val="en-GB"/>
        </w:rPr>
        <w:object w:dxaOrig="5415" w:dyaOrig="3930" w14:anchorId="5B59E0FD">
          <v:shape id="_x0000_i1026" type="#_x0000_t75" style="width:270.75pt;height:196.5pt" o:ole="">
            <v:imagedata r:id="rId11" o:title=""/>
          </v:shape>
          <o:OLEObject Type="Embed" ProgID="Equation.DSMT4" ShapeID="_x0000_i1026" DrawAspect="Content" ObjectID="_1580309192" r:id="rId12"/>
        </w:object>
      </w:r>
    </w:p>
    <w:p w14:paraId="13C87A87" w14:textId="3B6A05D5" w:rsidR="00A17376" w:rsidRDefault="00A17376" w:rsidP="00A17376">
      <w:pPr>
        <w:pStyle w:val="BodyText"/>
        <w:rPr>
          <w:lang w:val="en-GB"/>
        </w:rPr>
      </w:pPr>
      <w:r>
        <w:rPr>
          <w:lang w:val="en-GB"/>
        </w:rPr>
        <w:t>How</w:t>
      </w:r>
      <w:r w:rsidR="00600803">
        <w:rPr>
          <w:lang w:val="en-GB"/>
        </w:rPr>
        <w:t>ever, for rank-3 and rank-4 codebook. The multi-panel precoder is constructed by applying rank 3/4 single-panel codebook on each antenna panel and then applying inter-panel co-phase. As there exist no rank 3/4 codebook for the 2-port single-panel codebook, slight modification has to be made for this case. The most straightforward way is to split the antenna panels in two groups and transmit non-coherently from each group, so that only the rank-2 codebook from single-panel codebook needs to be applied. This would result in the following rank-4 precoder for the 2-panel case:</w:t>
      </w:r>
    </w:p>
    <w:p w14:paraId="6AFEBF80" w14:textId="6B6FE1F8" w:rsidR="00600803" w:rsidRPr="00600803" w:rsidRDefault="00600803" w:rsidP="00A17376">
      <w:pPr>
        <w:pStyle w:val="BodyText"/>
        <w:rPr>
          <w:rFonts w:eastAsiaTheme="minorEastAsia"/>
        </w:rPr>
      </w:pPr>
      <m:oMathPara>
        <m:oMath>
          <m:r>
            <m:rPr>
              <m:sty m:val="bi"/>
            </m:rPr>
            <w:rPr>
              <w:rFonts w:ascii="Cambria Math" w:hAnsi="Cambria Math"/>
            </w:rPr>
            <m:t>W</m:t>
          </m:r>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sSub>
                    <m:sSubPr>
                      <m:ctrlPr>
                        <w:rPr>
                          <w:rFonts w:ascii="Cambria Math" w:hAnsi="Cambria Math"/>
                          <w:i/>
                        </w:rPr>
                      </m:ctrlPr>
                    </m:sSubPr>
                    <m:e>
                      <m:r>
                        <w:rPr>
                          <w:rFonts w:ascii="Cambria Math" w:hAnsi="Cambria Math"/>
                        </w:rPr>
                        <m:t>φ</m:t>
                      </m:r>
                    </m:e>
                    <m:sub>
                      <m:r>
                        <w:rPr>
                          <w:rFonts w:ascii="Cambria Math" w:hAnsi="Cambria Math"/>
                        </w:rPr>
                        <m:t>n</m:t>
                      </m:r>
                    </m:sub>
                  </m:sSub>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hAnsi="Cambria Math"/>
                    </w:rPr>
                    <m:t>0</m:t>
                  </m:r>
                </m:e>
              </m:eqArr>
              <m:r>
                <w:rPr>
                  <w:rFonts w:ascii="Cambria Math" w:hAnsi="Cambria Math"/>
                </w:rPr>
                <m:t xml:space="preserve"> </m:t>
              </m:r>
              <m:eqArr>
                <m:eqArrPr>
                  <m:ctrlPr>
                    <w:rPr>
                      <w:rFonts w:ascii="Cambria Math" w:hAnsi="Cambria Math"/>
                      <w:i/>
                    </w:rPr>
                  </m:ctrlPr>
                </m:eqArrPr>
                <m:e>
                  <m:r>
                    <w:rPr>
                      <w:rFonts w:ascii="Cambria Math" w:hAnsi="Cambria Math"/>
                    </w:rPr>
                    <m:t>1</m:t>
                  </m:r>
                </m:e>
                <m:e>
                  <m:sSub>
                    <m:sSubPr>
                      <m:ctrlPr>
                        <w:rPr>
                          <w:rFonts w:ascii="Cambria Math" w:hAnsi="Cambria Math"/>
                          <w:i/>
                        </w:rPr>
                      </m:ctrlPr>
                    </m:sSubPr>
                    <m:e>
                      <m:r>
                        <w:rPr>
                          <w:rFonts w:ascii="Cambria Math" w:hAnsi="Cambria Math"/>
                        </w:rPr>
                        <m:t>-φ</m:t>
                      </m:r>
                    </m:e>
                    <m:sub>
                      <m:r>
                        <w:rPr>
                          <w:rFonts w:ascii="Cambria Math" w:hAnsi="Cambria Math"/>
                        </w:rPr>
                        <m:t>n</m:t>
                      </m:r>
                    </m:sub>
                  </m:sSub>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hAnsi="Cambria Math"/>
                    </w:rPr>
                    <m:t>0</m:t>
                  </m:r>
                </m:e>
              </m:eqArr>
              <m:r>
                <w:rPr>
                  <w:rFonts w:ascii="Cambria Math" w:hAnsi="Cambria Math"/>
                </w:rPr>
                <m:t xml:space="preserve"> </m:t>
              </m: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φ</m:t>
                      </m:r>
                    </m:e>
                    <m:sub>
                      <m:r>
                        <w:rPr>
                          <w:rFonts w:ascii="Cambria Math" w:hAnsi="Cambria Math"/>
                        </w:rPr>
                        <m:t>n</m:t>
                      </m:r>
                    </m:sub>
                  </m:sSub>
                </m:e>
              </m:eqArr>
              <m:r>
                <w:rPr>
                  <w:rFonts w:ascii="Cambria Math" w:hAnsi="Cambria Math"/>
                </w:rPr>
                <m:t xml:space="preserve"> </m:t>
              </m: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-φ</m:t>
                      </m:r>
                    </m:e>
                    <m:sub>
                      <m:r>
                        <w:rPr>
                          <w:rFonts w:ascii="Cambria Math" w:hAnsi="Cambria Math"/>
                        </w:rPr>
                        <m:t>n</m:t>
                      </m:r>
                    </m:sub>
                  </m:sSub>
                </m:e>
              </m:eqArr>
            </m:e>
          </m:d>
        </m:oMath>
      </m:oMathPara>
    </w:p>
    <w:p w14:paraId="3E3CD3F7" w14:textId="3D1098EF" w:rsidR="00600803" w:rsidRDefault="00600803" w:rsidP="00A17376">
      <w:pPr>
        <w:pStyle w:val="BodyText"/>
        <w:rPr>
          <w:rFonts w:eastAsiaTheme="minorEastAsia"/>
        </w:rPr>
      </w:pPr>
      <w:r>
        <w:rPr>
          <w:rFonts w:eastAsiaTheme="minorEastAsia"/>
        </w:rPr>
        <w:lastRenderedPageBreak/>
        <w:t>And the following rank-4 precoder for the 4-panel case:</w:t>
      </w:r>
    </w:p>
    <w:p w14:paraId="588275AD" w14:textId="47CBD1FD" w:rsidR="00600803" w:rsidRPr="00600803" w:rsidRDefault="00600803" w:rsidP="00600803">
      <w:pPr>
        <w:pStyle w:val="BodyText"/>
        <w:rPr>
          <w:rFonts w:eastAsiaTheme="minorEastAsia"/>
        </w:rPr>
      </w:pPr>
      <m:oMathPara>
        <m:oMath>
          <m:r>
            <m:rPr>
              <m:sty m:val="bi"/>
            </m:rPr>
            <w:rPr>
              <w:rFonts w:ascii="Cambria Math" w:hAnsi="Cambria Math"/>
            </w:rPr>
            <m:t>W</m:t>
          </m:r>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sSub>
                    <m:sSubPr>
                      <m:ctrlPr>
                        <w:rPr>
                          <w:rFonts w:ascii="Cambria Math" w:hAnsi="Cambria Math"/>
                          <w:i/>
                        </w:rPr>
                      </m:ctrlPr>
                    </m:sSubPr>
                    <m:e>
                      <m:r>
                        <w:rPr>
                          <w:rFonts w:ascii="Cambria Math" w:hAnsi="Cambria Math"/>
                        </w:rPr>
                        <m:t>φ</m:t>
                      </m:r>
                    </m:e>
                    <m:sub>
                      <m:r>
                        <w:rPr>
                          <w:rFonts w:ascii="Cambria Math" w:hAnsi="Cambria Math"/>
                        </w:rPr>
                        <m:t>n</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φ</m:t>
                      </m:r>
                    </m:e>
                    <m:sub>
                      <m:sSub>
                        <m:sSubPr>
                          <m:ctrlPr>
                            <w:rPr>
                              <w:rFonts w:ascii="Cambria Math" w:hAnsi="Cambria Math"/>
                              <w:i/>
                            </w:rPr>
                          </m:ctrlPr>
                        </m:sSubPr>
                        <m:e>
                          <m:r>
                            <w:rPr>
                              <w:rFonts w:ascii="Cambria Math" w:hAnsi="Cambria Math"/>
                            </w:rPr>
                            <m:t>p</m:t>
                          </m:r>
                        </m:e>
                        <m:sub>
                          <m:r>
                            <w:rPr>
                              <w:rFonts w:ascii="Cambria Math" w:hAnsi="Cambria Math"/>
                            </w:rPr>
                            <m:t>1</m:t>
                          </m:r>
                        </m:sub>
                      </m:sSub>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φ</m:t>
                      </m:r>
                    </m:e>
                    <m:sub>
                      <m:r>
                        <w:rPr>
                          <w:rFonts w:ascii="Cambria Math" w:hAnsi="Cambria Math"/>
                        </w:rPr>
                        <m:t>n</m:t>
                      </m:r>
                    </m:sub>
                  </m:sSub>
                  <m:sSub>
                    <m:sSubPr>
                      <m:ctrlPr>
                        <w:rPr>
                          <w:rFonts w:ascii="Cambria Math" w:hAnsi="Cambria Math"/>
                          <w:i/>
                        </w:rPr>
                      </m:ctrlPr>
                    </m:sSubPr>
                    <m:e>
                      <m:r>
                        <w:rPr>
                          <w:rFonts w:ascii="Cambria Math" w:hAnsi="Cambria Math"/>
                        </w:rPr>
                        <m:t>φ</m:t>
                      </m:r>
                    </m:e>
                    <m:sub>
                      <m:sSub>
                        <m:sSubPr>
                          <m:ctrlPr>
                            <w:rPr>
                              <w:rFonts w:ascii="Cambria Math" w:hAnsi="Cambria Math"/>
                              <w:i/>
                            </w:rPr>
                          </m:ctrlPr>
                        </m:sSubPr>
                        <m:e>
                          <m:r>
                            <w:rPr>
                              <w:rFonts w:ascii="Cambria Math" w:hAnsi="Cambria Math"/>
                            </w:rPr>
                            <m:t>p</m:t>
                          </m:r>
                        </m:e>
                        <m:sub>
                          <m:r>
                            <w:rPr>
                              <w:rFonts w:ascii="Cambria Math" w:hAnsi="Cambria Math"/>
                            </w:rPr>
                            <m:t>1</m:t>
                          </m:r>
                        </m:sub>
                      </m:sSub>
                    </m:sub>
                  </m:sSub>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r>
                <w:rPr>
                  <w:rFonts w:ascii="Cambria Math" w:hAnsi="Cambria Math"/>
                </w:rPr>
                <m:t xml:space="preserve"> </m:t>
              </m:r>
              <m:eqArr>
                <m:eqArrPr>
                  <m:ctrlPr>
                    <w:rPr>
                      <w:rFonts w:ascii="Cambria Math" w:hAnsi="Cambria Math"/>
                      <w:i/>
                    </w:rPr>
                  </m:ctrlPr>
                </m:eqArrPr>
                <m:e>
                  <m:r>
                    <w:rPr>
                      <w:rFonts w:ascii="Cambria Math" w:hAnsi="Cambria Math"/>
                    </w:rPr>
                    <m:t>1</m:t>
                  </m:r>
                </m:e>
                <m:e>
                  <m:sSub>
                    <m:sSubPr>
                      <m:ctrlPr>
                        <w:rPr>
                          <w:rFonts w:ascii="Cambria Math" w:hAnsi="Cambria Math"/>
                          <w:i/>
                        </w:rPr>
                      </m:ctrlPr>
                    </m:sSubPr>
                    <m:e>
                      <m:r>
                        <w:rPr>
                          <w:rFonts w:ascii="Cambria Math" w:hAnsi="Cambria Math"/>
                        </w:rPr>
                        <m:t>-φ</m:t>
                      </m:r>
                    </m:e>
                    <m:sub>
                      <m:r>
                        <w:rPr>
                          <w:rFonts w:ascii="Cambria Math" w:hAnsi="Cambria Math"/>
                        </w:rPr>
                        <m:t>n</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φ</m:t>
                      </m:r>
                    </m:e>
                    <m:sub>
                      <m:sSub>
                        <m:sSubPr>
                          <m:ctrlPr>
                            <w:rPr>
                              <w:rFonts w:ascii="Cambria Math" w:hAnsi="Cambria Math"/>
                              <w:i/>
                            </w:rPr>
                          </m:ctrlPr>
                        </m:sSubPr>
                        <m:e>
                          <m:r>
                            <w:rPr>
                              <w:rFonts w:ascii="Cambria Math" w:hAnsi="Cambria Math"/>
                            </w:rPr>
                            <m:t>p</m:t>
                          </m:r>
                        </m:e>
                        <m:sub>
                          <m:r>
                            <w:rPr>
                              <w:rFonts w:ascii="Cambria Math" w:hAnsi="Cambria Math"/>
                            </w:rPr>
                            <m:t>1</m:t>
                          </m:r>
                        </m:sub>
                      </m:sSub>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-φ</m:t>
                      </m:r>
                    </m:e>
                    <m:sub>
                      <m:r>
                        <w:rPr>
                          <w:rFonts w:ascii="Cambria Math" w:hAnsi="Cambria Math"/>
                        </w:rPr>
                        <m:t>n</m:t>
                      </m:r>
                    </m:sub>
                  </m:sSub>
                  <m:sSub>
                    <m:sSubPr>
                      <m:ctrlPr>
                        <w:rPr>
                          <w:rFonts w:ascii="Cambria Math" w:hAnsi="Cambria Math"/>
                          <w:i/>
                        </w:rPr>
                      </m:ctrlPr>
                    </m:sSubPr>
                    <m:e>
                      <m:r>
                        <w:rPr>
                          <w:rFonts w:ascii="Cambria Math" w:hAnsi="Cambria Math"/>
                        </w:rPr>
                        <m:t>φ</m:t>
                      </m:r>
                    </m:e>
                    <m:sub>
                      <m:sSub>
                        <m:sSubPr>
                          <m:ctrlPr>
                            <w:rPr>
                              <w:rFonts w:ascii="Cambria Math" w:hAnsi="Cambria Math"/>
                              <w:i/>
                            </w:rPr>
                          </m:ctrlPr>
                        </m:sSubPr>
                        <m:e>
                          <m:r>
                            <w:rPr>
                              <w:rFonts w:ascii="Cambria Math" w:hAnsi="Cambria Math"/>
                            </w:rPr>
                            <m:t>p</m:t>
                          </m:r>
                        </m:e>
                        <m:sub>
                          <m:r>
                            <w:rPr>
                              <w:rFonts w:ascii="Cambria Math" w:hAnsi="Cambria Math"/>
                            </w:rPr>
                            <m:t>1</m:t>
                          </m:r>
                        </m:sub>
                      </m:sSub>
                    </m:sub>
                  </m:sSub>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r>
                <w:rPr>
                  <w:rFonts w:ascii="Cambria Math" w:hAnsi="Cambria Math"/>
                </w:rPr>
                <m:t xml:space="preserve"> </m:t>
              </m: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φ</m:t>
                      </m:r>
                    </m:e>
                    <m:sub>
                      <m:r>
                        <w:rPr>
                          <w:rFonts w:ascii="Cambria Math" w:hAnsi="Cambria Math"/>
                        </w:rPr>
                        <m:t>n</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φ</m:t>
                      </m:r>
                    </m:e>
                    <m:sub>
                      <m:sSub>
                        <m:sSubPr>
                          <m:ctrlPr>
                            <w:rPr>
                              <w:rFonts w:ascii="Cambria Math" w:hAnsi="Cambria Math"/>
                              <w:i/>
                            </w:rPr>
                          </m:ctrlPr>
                        </m:sSubPr>
                        <m:e>
                          <m:r>
                            <w:rPr>
                              <w:rFonts w:ascii="Cambria Math" w:hAnsi="Cambria Math"/>
                            </w:rPr>
                            <m:t>p</m:t>
                          </m:r>
                        </m:e>
                        <m:sub>
                          <m:r>
                            <w:rPr>
                              <w:rFonts w:ascii="Cambria Math" w:hAnsi="Cambria Math"/>
                            </w:rPr>
                            <m:t>1</m:t>
                          </m:r>
                        </m:sub>
                      </m:sSub>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φ</m:t>
                      </m:r>
                    </m:e>
                    <m:sub>
                      <m:r>
                        <w:rPr>
                          <w:rFonts w:ascii="Cambria Math" w:hAnsi="Cambria Math"/>
                        </w:rPr>
                        <m:t>n</m:t>
                      </m:r>
                    </m:sub>
                  </m:sSub>
                  <m:sSub>
                    <m:sSubPr>
                      <m:ctrlPr>
                        <w:rPr>
                          <w:rFonts w:ascii="Cambria Math" w:hAnsi="Cambria Math"/>
                          <w:i/>
                        </w:rPr>
                      </m:ctrlPr>
                    </m:sSubPr>
                    <m:e>
                      <m:r>
                        <w:rPr>
                          <w:rFonts w:ascii="Cambria Math" w:hAnsi="Cambria Math"/>
                        </w:rPr>
                        <m:t>φ</m:t>
                      </m:r>
                    </m:e>
                    <m:sub>
                      <m:sSub>
                        <m:sSubPr>
                          <m:ctrlPr>
                            <w:rPr>
                              <w:rFonts w:ascii="Cambria Math" w:hAnsi="Cambria Math"/>
                              <w:i/>
                            </w:rPr>
                          </m:ctrlPr>
                        </m:sSubPr>
                        <m:e>
                          <m:r>
                            <w:rPr>
                              <w:rFonts w:ascii="Cambria Math" w:hAnsi="Cambria Math"/>
                            </w:rPr>
                            <m:t>p</m:t>
                          </m:r>
                        </m:e>
                        <m:sub>
                          <m:r>
                            <w:rPr>
                              <w:rFonts w:ascii="Cambria Math" w:hAnsi="Cambria Math"/>
                            </w:rPr>
                            <m:t>1</m:t>
                          </m:r>
                        </m:sub>
                      </m:sSub>
                    </m:sub>
                  </m:sSub>
                </m:e>
              </m:eqArr>
              <m:r>
                <w:rPr>
                  <w:rFonts w:ascii="Cambria Math" w:hAnsi="Cambria Math"/>
                </w:rPr>
                <m:t xml:space="preserve"> </m:t>
              </m: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-φ</m:t>
                      </m:r>
                    </m:e>
                    <m:sub>
                      <m:r>
                        <w:rPr>
                          <w:rFonts w:ascii="Cambria Math" w:hAnsi="Cambria Math"/>
                        </w:rPr>
                        <m:t>n</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φ</m:t>
                      </m:r>
                    </m:e>
                    <m:sub>
                      <m:sSub>
                        <m:sSubPr>
                          <m:ctrlPr>
                            <w:rPr>
                              <w:rFonts w:ascii="Cambria Math" w:hAnsi="Cambria Math"/>
                              <w:i/>
                            </w:rPr>
                          </m:ctrlPr>
                        </m:sSubPr>
                        <m:e>
                          <m:r>
                            <w:rPr>
                              <w:rFonts w:ascii="Cambria Math" w:hAnsi="Cambria Math"/>
                            </w:rPr>
                            <m:t>p</m:t>
                          </m:r>
                        </m:e>
                        <m:sub>
                          <m:r>
                            <w:rPr>
                              <w:rFonts w:ascii="Cambria Math" w:hAnsi="Cambria Math"/>
                            </w:rPr>
                            <m:t>1</m:t>
                          </m:r>
                        </m:sub>
                      </m:sSub>
                    </m:sub>
                  </m:sSub>
                  <m:ctrlPr>
                    <w:rPr>
                      <w:rFonts w:ascii="Cambria Math" w:eastAsia="Cambria Math" w:hAnsi="Cambria Math" w:cs="Cambria Math"/>
                      <w:i/>
                    </w:rPr>
                  </m:ctrlPr>
                </m:e>
                <m:e>
                  <m:r>
                    <w:rPr>
                      <w:rFonts w:ascii="Cambria Math" w:eastAsia="Cambria Math" w:hAnsi="Cambria Math" w:cs="Cambria Math"/>
                    </w:rPr>
                    <m:t>-</m:t>
                  </m:r>
                  <m:sSub>
                    <m:sSubPr>
                      <m:ctrlPr>
                        <w:rPr>
                          <w:rFonts w:ascii="Cambria Math" w:hAnsi="Cambria Math"/>
                          <w:i/>
                        </w:rPr>
                      </m:ctrlPr>
                    </m:sSubPr>
                    <m:e>
                      <m:r>
                        <w:rPr>
                          <w:rFonts w:ascii="Cambria Math" w:hAnsi="Cambria Math"/>
                        </w:rPr>
                        <m:t>φ</m:t>
                      </m:r>
                    </m:e>
                    <m:sub>
                      <m:r>
                        <w:rPr>
                          <w:rFonts w:ascii="Cambria Math" w:hAnsi="Cambria Math"/>
                        </w:rPr>
                        <m:t>n</m:t>
                      </m:r>
                    </m:sub>
                  </m:sSub>
                  <m:sSub>
                    <m:sSubPr>
                      <m:ctrlPr>
                        <w:rPr>
                          <w:rFonts w:ascii="Cambria Math" w:hAnsi="Cambria Math"/>
                          <w:i/>
                        </w:rPr>
                      </m:ctrlPr>
                    </m:sSubPr>
                    <m:e>
                      <m:r>
                        <w:rPr>
                          <w:rFonts w:ascii="Cambria Math" w:hAnsi="Cambria Math"/>
                        </w:rPr>
                        <m:t>φ</m:t>
                      </m:r>
                    </m:e>
                    <m:sub>
                      <m:sSub>
                        <m:sSubPr>
                          <m:ctrlPr>
                            <w:rPr>
                              <w:rFonts w:ascii="Cambria Math" w:hAnsi="Cambria Math"/>
                              <w:i/>
                            </w:rPr>
                          </m:ctrlPr>
                        </m:sSubPr>
                        <m:e>
                          <m:r>
                            <w:rPr>
                              <w:rFonts w:ascii="Cambria Math" w:hAnsi="Cambria Math"/>
                            </w:rPr>
                            <m:t>p</m:t>
                          </m:r>
                        </m:e>
                        <m:sub>
                          <m:r>
                            <w:rPr>
                              <w:rFonts w:ascii="Cambria Math" w:hAnsi="Cambria Math"/>
                            </w:rPr>
                            <m:t>1</m:t>
                          </m:r>
                        </m:sub>
                      </m:sSub>
                    </m:sub>
                  </m:sSub>
                </m:e>
              </m:eqArr>
              <m:r>
                <w:rPr>
                  <w:rFonts w:ascii="Cambria Math" w:hAnsi="Cambria Math"/>
                </w:rPr>
                <m:t xml:space="preserve"> </m:t>
              </m:r>
            </m:e>
          </m:d>
        </m:oMath>
      </m:oMathPara>
    </w:p>
    <w:p w14:paraId="40C7E177" w14:textId="19E36803" w:rsidR="00600803" w:rsidRDefault="001674B5" w:rsidP="00A17376">
      <w:pPr>
        <w:pStyle w:val="BodyText"/>
      </w:pPr>
      <w:r>
        <w:t>The rank-3 precoders may be constructed be taking the first three columns of the rank-4 precoder.</w:t>
      </w:r>
    </w:p>
    <w:p w14:paraId="441A020C" w14:textId="6DCB064B" w:rsidR="001674B5" w:rsidRPr="00A17376" w:rsidRDefault="001674B5" w:rsidP="001674B5">
      <w:pPr>
        <w:pStyle w:val="Proposal"/>
      </w:pPr>
      <w:bookmarkStart w:id="2" w:name="_Toc490728684"/>
      <w:r>
        <w:t>Construct the rank-3 and rank-4 MP-codebook precoders for</w:t>
      </w:r>
      <m:oMath>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g</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2</m:t>
            </m:r>
          </m:sub>
        </m:sSub>
        <m:r>
          <m:rPr>
            <m:sty m:val="bi"/>
          </m:rPr>
          <w:rPr>
            <w:rFonts w:ascii="Cambria Math" w:hAnsi="Cambria Math"/>
          </w:rPr>
          <m:t>)={</m:t>
        </m:r>
        <m:d>
          <m:dPr>
            <m:ctrlPr>
              <w:rPr>
                <w:rFonts w:ascii="Cambria Math" w:hAnsi="Cambria Math"/>
                <w:i/>
              </w:rPr>
            </m:ctrlPr>
          </m:dPr>
          <m:e>
            <m:r>
              <m:rPr>
                <m:sty m:val="bi"/>
              </m:rPr>
              <w:rPr>
                <w:rFonts w:ascii="Cambria Math" w:hAnsi="Cambria Math"/>
              </w:rPr>
              <m:t>2,1,1</m:t>
            </m:r>
          </m:e>
        </m:d>
        <m:r>
          <m:rPr>
            <m:sty m:val="bi"/>
          </m:rPr>
          <w:rPr>
            <w:rFonts w:ascii="Cambria Math" w:hAnsi="Cambria Math"/>
          </w:rPr>
          <m:t>,(4,1,1) }</m:t>
        </m:r>
      </m:oMath>
      <w:r>
        <w:rPr>
          <w:rFonts w:eastAsiaTheme="minorEastAsia"/>
        </w:rPr>
        <w:t xml:space="preserve"> by transmitting non-coherently from groups of </w:t>
      </w:r>
      <m:oMath>
        <m:sSub>
          <m:sSubPr>
            <m:ctrlPr>
              <w:rPr>
                <w:rFonts w:ascii="Cambria Math" w:eastAsiaTheme="minorEastAsia" w:hAnsi="Cambria Math"/>
                <w:i/>
              </w:rPr>
            </m:ctrlPr>
          </m:sSubPr>
          <m:e>
            <m:r>
              <m:rPr>
                <m:sty m:val="bi"/>
              </m:rPr>
              <w:rPr>
                <w:rFonts w:ascii="Cambria Math" w:eastAsiaTheme="minorEastAsia" w:hAnsi="Cambria Math"/>
              </w:rPr>
              <m:t>N</m:t>
            </m:r>
          </m:e>
          <m:sub>
            <m:r>
              <m:rPr>
                <m:sty m:val="bi"/>
              </m:rPr>
              <w:rPr>
                <w:rFonts w:ascii="Cambria Math" w:eastAsiaTheme="minorEastAsia" w:hAnsi="Cambria Math"/>
              </w:rPr>
              <m:t>g</m:t>
            </m:r>
          </m:sub>
        </m:sSub>
        <m:r>
          <m:rPr>
            <m:sty m:val="bi"/>
          </m:rPr>
          <w:rPr>
            <w:rFonts w:ascii="Cambria Math" w:eastAsiaTheme="minorEastAsia" w:hAnsi="Cambria Math"/>
          </w:rPr>
          <m:t>/2</m:t>
        </m:r>
      </m:oMath>
      <w:r>
        <w:rPr>
          <w:rFonts w:eastAsiaTheme="minorEastAsia"/>
        </w:rPr>
        <w:t xml:space="preserve"> panels</w:t>
      </w:r>
      <w:bookmarkEnd w:id="2"/>
    </w:p>
    <w:p w14:paraId="56327F3C" w14:textId="77777777" w:rsidR="00C01F33" w:rsidRPr="00CE0424" w:rsidRDefault="00C01F33" w:rsidP="003A0E41">
      <w:pPr>
        <w:pStyle w:val="Heading1"/>
      </w:pPr>
      <w:r w:rsidRPr="00CE0424">
        <w:t>Conclusion</w:t>
      </w:r>
      <w:r w:rsidR="00AE2FEB">
        <w:t>s</w:t>
      </w:r>
    </w:p>
    <w:p w14:paraId="0ADEACAB" w14:textId="77777777" w:rsidR="001674B5" w:rsidRDefault="00F61523" w:rsidP="00F61523">
      <w:pPr>
        <w:pStyle w:val="BodyText"/>
        <w:rPr>
          <w:noProof/>
        </w:rPr>
      </w:pPr>
      <w:r>
        <w:t xml:space="preserve">In this contribution, we have discussed some shortcomings of the multi-panel codebook when used in conjunction with beam management. Based on this discussion, we propose to extend the allowed port layouts to support the case with 2 ports per panel. </w:t>
      </w:r>
      <w:r w:rsidR="00E5689D">
        <w:fldChar w:fldCharType="begin"/>
      </w:r>
      <w:r w:rsidR="00E5689D">
        <w:instrText xml:space="preserve"> TOC \f \n \p " " \t "Proposal,1" </w:instrText>
      </w:r>
      <w:r w:rsidR="00E5689D">
        <w:fldChar w:fldCharType="separate"/>
      </w:r>
    </w:p>
    <w:p w14:paraId="1B92C3D6" w14:textId="77777777" w:rsidR="001674B5" w:rsidRDefault="001674B5">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The allowed panel/port layouts in th</w:t>
      </w:r>
      <w:bookmarkStart w:id="3" w:name="_GoBack"/>
      <w:bookmarkEnd w:id="3"/>
      <w:r>
        <w:t xml:space="preserve">e multi-panel Type I codebook are extended with </w:t>
      </w:r>
      <m:oMath>
        <m:r>
          <m:rPr>
            <m:sty m:val="b"/>
          </m:rPr>
          <w:rPr>
            <w:rFonts w:ascii="Cambria Math" w:hAnsi="Cambria Math"/>
          </w:rPr>
          <m:t>(Ng,N1,N2)={2,1,1,(4,1,1) }</m:t>
        </m:r>
      </m:oMath>
    </w:p>
    <w:p w14:paraId="686FA68E" w14:textId="77777777" w:rsidR="001674B5" w:rsidRDefault="001674B5">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Construct the rank-3 and rank-4 MP-codebook precoders for</w:t>
      </w:r>
      <m:oMath>
        <m:r>
          <m:rPr>
            <m:sty m:val="b"/>
          </m:rPr>
          <w:rPr>
            <w:rFonts w:ascii="Cambria Math" w:hAnsi="Cambria Math"/>
          </w:rPr>
          <m:t xml:space="preserve"> (Ng,N1,N2)={2,1,1,(4,1,1) }</m:t>
        </m:r>
      </m:oMath>
      <w:r w:rsidRPr="00A05D3D">
        <w:rPr>
          <w:rFonts w:eastAsiaTheme="minorEastAsia"/>
        </w:rPr>
        <w:t xml:space="preserve"> by transmitting non-coherently from groups of </w:t>
      </w:r>
      <m:oMath>
        <m:r>
          <m:rPr>
            <m:sty m:val="b"/>
          </m:rPr>
          <w:rPr>
            <w:rFonts w:ascii="Cambria Math" w:eastAsiaTheme="minorEastAsia" w:hAnsi="Cambria Math"/>
          </w:rPr>
          <m:t>Ng/2</m:t>
        </m:r>
      </m:oMath>
      <w:r w:rsidRPr="00A05D3D">
        <w:rPr>
          <w:rFonts w:eastAsiaTheme="minorEastAsia"/>
        </w:rPr>
        <w:t xml:space="preserve"> panels</w:t>
      </w:r>
    </w:p>
    <w:p w14:paraId="60B357CF" w14:textId="1B897BD0" w:rsidR="00C01F33" w:rsidRPr="00790B99" w:rsidRDefault="00E5689D" w:rsidP="00E5689D">
      <w:pPr>
        <w:pStyle w:val="BodyText"/>
        <w:rPr>
          <w:b/>
          <w:bCs/>
        </w:rPr>
      </w:pPr>
      <w:r>
        <w:rPr>
          <w:b/>
          <w:bCs/>
        </w:rPr>
        <w:fldChar w:fldCharType="end"/>
      </w:r>
    </w:p>
    <w:sectPr w:rsidR="00C01F33" w:rsidRPr="00790B99" w:rsidSect="00C02A4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BDB6A0" w14:textId="77777777" w:rsidR="00EA45D8" w:rsidRDefault="00EA45D8">
      <w:r>
        <w:separator/>
      </w:r>
    </w:p>
  </w:endnote>
  <w:endnote w:type="continuationSeparator" w:id="0">
    <w:p w14:paraId="63FC3706" w14:textId="77777777" w:rsidR="00EA45D8" w:rsidRDefault="00EA4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C5E4A0" w14:textId="77777777" w:rsidR="00B23E0D" w:rsidRDefault="00B23E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6FDC7EF7" w:rsidR="00920BF2" w:rsidRPr="00B23E0D" w:rsidRDefault="00920BF2" w:rsidP="00B23E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C0C97" w14:textId="77777777" w:rsidR="00B23E0D" w:rsidRDefault="00B23E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5DC17B" w14:textId="77777777" w:rsidR="00EA45D8" w:rsidRDefault="00EA45D8">
      <w:r>
        <w:separator/>
      </w:r>
    </w:p>
  </w:footnote>
  <w:footnote w:type="continuationSeparator" w:id="0">
    <w:p w14:paraId="12220D87" w14:textId="77777777" w:rsidR="00EA45D8" w:rsidRDefault="00EA45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8FFBB05" w:rsidR="00920BF2" w:rsidRPr="00B23E0D" w:rsidRDefault="00920BF2" w:rsidP="00B23E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FE3A5" w14:textId="77777777" w:rsidR="00B23E0D" w:rsidRDefault="00B23E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A6DFC1" w14:textId="77777777" w:rsidR="00B23E0D" w:rsidRDefault="00B23E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FD60ED"/>
    <w:multiLevelType w:val="hybridMultilevel"/>
    <w:tmpl w:val="4B380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CE85024"/>
    <w:multiLevelType w:val="hybridMultilevel"/>
    <w:tmpl w:val="7736D47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7FF617F"/>
    <w:multiLevelType w:val="hybridMultilevel"/>
    <w:tmpl w:val="1C1A50CA"/>
    <w:lvl w:ilvl="0" w:tplc="D66A29E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B64BC7"/>
    <w:multiLevelType w:val="hybridMultilevel"/>
    <w:tmpl w:val="89F64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9"/>
  </w:num>
  <w:num w:numId="4">
    <w:abstractNumId w:val="10"/>
  </w:num>
  <w:num w:numId="5">
    <w:abstractNumId w:val="6"/>
  </w:num>
  <w:num w:numId="6">
    <w:abstractNumId w:val="12"/>
  </w:num>
  <w:num w:numId="7">
    <w:abstractNumId w:val="15"/>
  </w:num>
  <w:num w:numId="8">
    <w:abstractNumId w:val="7"/>
  </w:num>
  <w:num w:numId="9">
    <w:abstractNumId w:val="5"/>
  </w:num>
  <w:num w:numId="10">
    <w:abstractNumId w:val="2"/>
  </w:num>
  <w:num w:numId="11">
    <w:abstractNumId w:val="1"/>
  </w:num>
  <w:num w:numId="12">
    <w:abstractNumId w:val="0"/>
  </w:num>
  <w:num w:numId="13">
    <w:abstractNumId w:val="14"/>
  </w:num>
  <w:num w:numId="14">
    <w:abstractNumId w:val="8"/>
  </w:num>
  <w:num w:numId="15">
    <w:abstractNumId w:val="16"/>
  </w:num>
  <w:num w:numId="16">
    <w:abstractNumId w:val="17"/>
  </w:num>
  <w:num w:numId="17">
    <w:abstractNumId w:val="11"/>
  </w:num>
  <w:num w:numId="1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6832"/>
    <w:rsid w:val="000006E1"/>
    <w:rsid w:val="00002A37"/>
    <w:rsid w:val="00003F5E"/>
    <w:rsid w:val="00004CD4"/>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3CE9"/>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674B5"/>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066"/>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65D4"/>
    <w:rsid w:val="002C41E6"/>
    <w:rsid w:val="002D071A"/>
    <w:rsid w:val="002D34B2"/>
    <w:rsid w:val="002D7637"/>
    <w:rsid w:val="002E17F2"/>
    <w:rsid w:val="002E7CAE"/>
    <w:rsid w:val="002F2771"/>
    <w:rsid w:val="002F37A9"/>
    <w:rsid w:val="002F6288"/>
    <w:rsid w:val="002F68E1"/>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4042"/>
    <w:rsid w:val="00546970"/>
    <w:rsid w:val="00554192"/>
    <w:rsid w:val="00554E19"/>
    <w:rsid w:val="0056121F"/>
    <w:rsid w:val="00571BE9"/>
    <w:rsid w:val="00572505"/>
    <w:rsid w:val="00575DA6"/>
    <w:rsid w:val="00582809"/>
    <w:rsid w:val="00583D71"/>
    <w:rsid w:val="0058798C"/>
    <w:rsid w:val="005900FA"/>
    <w:rsid w:val="00591875"/>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0803"/>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97808"/>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50B"/>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1F0C"/>
    <w:rsid w:val="00863FCB"/>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1D21"/>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212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2FED"/>
    <w:rsid w:val="0097493A"/>
    <w:rsid w:val="0097603D"/>
    <w:rsid w:val="00976949"/>
    <w:rsid w:val="00980477"/>
    <w:rsid w:val="00985253"/>
    <w:rsid w:val="009853B3"/>
    <w:rsid w:val="00985BFD"/>
    <w:rsid w:val="00990630"/>
    <w:rsid w:val="00990AA1"/>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376"/>
    <w:rsid w:val="00A17F63"/>
    <w:rsid w:val="00A2193B"/>
    <w:rsid w:val="00A2351A"/>
    <w:rsid w:val="00A264A9"/>
    <w:rsid w:val="00A27785"/>
    <w:rsid w:val="00A30187"/>
    <w:rsid w:val="00A3448A"/>
    <w:rsid w:val="00A36297"/>
    <w:rsid w:val="00A41E2B"/>
    <w:rsid w:val="00A45B74"/>
    <w:rsid w:val="00A52E1D"/>
    <w:rsid w:val="00A54C65"/>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3461"/>
    <w:rsid w:val="00AC49FB"/>
    <w:rsid w:val="00AC5A10"/>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57F9"/>
    <w:rsid w:val="00B20256"/>
    <w:rsid w:val="00B20D09"/>
    <w:rsid w:val="00B23E0D"/>
    <w:rsid w:val="00B2763F"/>
    <w:rsid w:val="00B27AAC"/>
    <w:rsid w:val="00B30929"/>
    <w:rsid w:val="00B372AA"/>
    <w:rsid w:val="00B40445"/>
    <w:rsid w:val="00B4078A"/>
    <w:rsid w:val="00B41888"/>
    <w:rsid w:val="00B45A52"/>
    <w:rsid w:val="00B46175"/>
    <w:rsid w:val="00B664C7"/>
    <w:rsid w:val="00B739F6"/>
    <w:rsid w:val="00B75A51"/>
    <w:rsid w:val="00B80C5B"/>
    <w:rsid w:val="00B81A6C"/>
    <w:rsid w:val="00B85DE5"/>
    <w:rsid w:val="00B90F73"/>
    <w:rsid w:val="00B93B59"/>
    <w:rsid w:val="00B9406A"/>
    <w:rsid w:val="00B956AC"/>
    <w:rsid w:val="00BA2280"/>
    <w:rsid w:val="00BA2A08"/>
    <w:rsid w:val="00BA56D2"/>
    <w:rsid w:val="00BA76E0"/>
    <w:rsid w:val="00BB2A25"/>
    <w:rsid w:val="00BB51E9"/>
    <w:rsid w:val="00BC0FDC"/>
    <w:rsid w:val="00BC3053"/>
    <w:rsid w:val="00BC4D2E"/>
    <w:rsid w:val="00BD48AC"/>
    <w:rsid w:val="00BD5F1A"/>
    <w:rsid w:val="00BD6628"/>
    <w:rsid w:val="00BE1234"/>
    <w:rsid w:val="00BE2FA6"/>
    <w:rsid w:val="00BE333F"/>
    <w:rsid w:val="00BE7406"/>
    <w:rsid w:val="00BE7603"/>
    <w:rsid w:val="00BF3279"/>
    <w:rsid w:val="00BF5F4D"/>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1109"/>
    <w:rsid w:val="00C279B5"/>
    <w:rsid w:val="00C27C45"/>
    <w:rsid w:val="00C35734"/>
    <w:rsid w:val="00C3719D"/>
    <w:rsid w:val="00C52A49"/>
    <w:rsid w:val="00C54995"/>
    <w:rsid w:val="00C54D41"/>
    <w:rsid w:val="00C60783"/>
    <w:rsid w:val="00C64672"/>
    <w:rsid w:val="00C70697"/>
    <w:rsid w:val="00C72EF4"/>
    <w:rsid w:val="00C75D2F"/>
    <w:rsid w:val="00C767BE"/>
    <w:rsid w:val="00C76E3C"/>
    <w:rsid w:val="00C81568"/>
    <w:rsid w:val="00C9027A"/>
    <w:rsid w:val="00C9068E"/>
    <w:rsid w:val="00C9368C"/>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2A1C"/>
    <w:rsid w:val="00D13135"/>
    <w:rsid w:val="00D13E4E"/>
    <w:rsid w:val="00D152AA"/>
    <w:rsid w:val="00D239A7"/>
    <w:rsid w:val="00D23F47"/>
    <w:rsid w:val="00D31B1E"/>
    <w:rsid w:val="00D36E71"/>
    <w:rsid w:val="00D37D87"/>
    <w:rsid w:val="00D40B33"/>
    <w:rsid w:val="00D42336"/>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3321"/>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5D8"/>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1523"/>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150C"/>
    <w:rsid w:val="00F92782"/>
    <w:rsid w:val="00F93AA9"/>
    <w:rsid w:val="00F96985"/>
    <w:rsid w:val="00F97838"/>
    <w:rsid w:val="00FA2BB3"/>
    <w:rsid w:val="00FA3C2D"/>
    <w:rsid w:val="00FB4C80"/>
    <w:rsid w:val="00FB6A6A"/>
    <w:rsid w:val="00FC7429"/>
    <w:rsid w:val="00FC7667"/>
    <w:rsid w:val="00FD07F6"/>
    <w:rsid w:val="00FD1EC8"/>
    <w:rsid w:val="00FD47ED"/>
    <w:rsid w:val="00FD74DB"/>
    <w:rsid w:val="00FD7660"/>
    <w:rsid w:val="00FE0655"/>
    <w:rsid w:val="00FE2365"/>
    <w:rsid w:val="00FE37D7"/>
    <w:rsid w:val="00FE4C7B"/>
    <w:rsid w:val="00FE68B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0AA1"/>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6E6F5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6E6F50"/>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6E6F50"/>
    <w:pPr>
      <w:numPr>
        <w:ilvl w:val="2"/>
      </w:numPr>
      <w:spacing w:before="120"/>
      <w:outlineLvl w:val="2"/>
    </w:pPr>
    <w:rPr>
      <w:sz w:val="24"/>
      <w:szCs w:val="28"/>
    </w:rPr>
  </w:style>
  <w:style w:type="paragraph" w:styleId="Heading4">
    <w:name w:val="heading 4"/>
    <w:basedOn w:val="Heading3"/>
    <w:next w:val="Normal"/>
    <w:qFormat/>
    <w:rsid w:val="006E6F50"/>
    <w:pPr>
      <w:numPr>
        <w:ilvl w:val="3"/>
      </w:numPr>
      <w:outlineLvl w:val="3"/>
    </w:pPr>
    <w:rPr>
      <w:szCs w:val="24"/>
    </w:rPr>
  </w:style>
  <w:style w:type="paragraph" w:styleId="Heading5">
    <w:name w:val="heading 5"/>
    <w:basedOn w:val="Heading4"/>
    <w:next w:val="Normal"/>
    <w:qFormat/>
    <w:rsid w:val="006E6F50"/>
    <w:pPr>
      <w:numPr>
        <w:ilvl w:val="4"/>
      </w:numPr>
      <w:outlineLvl w:val="4"/>
    </w:pPr>
    <w:rPr>
      <w:sz w:val="22"/>
      <w:szCs w:val="22"/>
    </w:rPr>
  </w:style>
  <w:style w:type="paragraph" w:styleId="Heading6">
    <w:name w:val="heading 6"/>
    <w:basedOn w:val="Normal"/>
    <w:next w:val="Normal"/>
    <w:qFormat/>
    <w:rsid w:val="006E6F50"/>
    <w:pPr>
      <w:keepNext/>
      <w:keepLines/>
      <w:numPr>
        <w:ilvl w:val="5"/>
        <w:numId w:val="1"/>
      </w:numPr>
      <w:spacing w:before="120"/>
      <w:outlineLvl w:val="5"/>
    </w:pPr>
    <w:rPr>
      <w:rFonts w:cs="Arial"/>
    </w:rPr>
  </w:style>
  <w:style w:type="paragraph" w:styleId="Heading7">
    <w:name w:val="heading 7"/>
    <w:basedOn w:val="Normal"/>
    <w:next w:val="Normal"/>
    <w:qFormat/>
    <w:rsid w:val="006E6F50"/>
    <w:pPr>
      <w:keepNext/>
      <w:keepLines/>
      <w:numPr>
        <w:ilvl w:val="6"/>
        <w:numId w:val="1"/>
      </w:numPr>
      <w:spacing w:before="120"/>
      <w:outlineLvl w:val="6"/>
    </w:pPr>
    <w:rPr>
      <w:rFonts w:cs="Arial"/>
    </w:rPr>
  </w:style>
  <w:style w:type="paragraph" w:styleId="Heading8">
    <w:name w:val="heading 8"/>
    <w:basedOn w:val="Heading7"/>
    <w:next w:val="Normal"/>
    <w:qFormat/>
    <w:rsid w:val="006E6F50"/>
    <w:pPr>
      <w:numPr>
        <w:ilvl w:val="7"/>
      </w:numPr>
      <w:outlineLvl w:val="7"/>
    </w:pPr>
  </w:style>
  <w:style w:type="paragraph" w:styleId="Heading9">
    <w:name w:val="heading 9"/>
    <w:basedOn w:val="Heading8"/>
    <w:next w:val="Normal"/>
    <w:qFormat/>
    <w:rsid w:val="006E6F50"/>
    <w:pPr>
      <w:numPr>
        <w:ilvl w:val="8"/>
      </w:numPr>
      <w:outlineLvl w:val="8"/>
    </w:pPr>
  </w:style>
  <w:style w:type="character" w:default="1" w:styleId="DefaultParagraphFont">
    <w:name w:val="Default Paragraph Font"/>
    <w:uiPriority w:val="1"/>
    <w:semiHidden/>
    <w:unhideWhenUsed/>
    <w:rsid w:val="00990A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90AA1"/>
  </w:style>
  <w:style w:type="paragraph" w:styleId="TOC8">
    <w:name w:val="toc 8"/>
    <w:basedOn w:val="TOC1"/>
    <w:semiHidden/>
    <w:rsid w:val="006E6F50"/>
    <w:pPr>
      <w:spacing w:before="180"/>
      <w:ind w:left="2693" w:hanging="2693"/>
    </w:pPr>
    <w:rPr>
      <w:b w:val="0"/>
      <w:bCs/>
    </w:rPr>
  </w:style>
  <w:style w:type="paragraph" w:styleId="TOC1">
    <w:name w:val="toc 1"/>
    <w:aliases w:val="Observation TOC2"/>
    <w:uiPriority w:val="39"/>
    <w:rsid w:val="006E6F50"/>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6E6F50"/>
    <w:pPr>
      <w:keepNext/>
      <w:keepLines/>
      <w:spacing w:before="180"/>
      <w:jc w:val="center"/>
    </w:pPr>
  </w:style>
  <w:style w:type="paragraph" w:styleId="Caption">
    <w:name w:val="caption"/>
    <w:basedOn w:val="Normal"/>
    <w:next w:val="Normal"/>
    <w:qFormat/>
    <w:rsid w:val="006E6F50"/>
    <w:pPr>
      <w:spacing w:after="240"/>
      <w:jc w:val="center"/>
    </w:pPr>
    <w:rPr>
      <w:b/>
      <w:bCs/>
    </w:rPr>
  </w:style>
  <w:style w:type="paragraph" w:styleId="TOC5">
    <w:name w:val="toc 5"/>
    <w:aliases w:val="Observation TOC"/>
    <w:basedOn w:val="TOC4"/>
    <w:semiHidden/>
    <w:rsid w:val="006E6F50"/>
    <w:pPr>
      <w:tabs>
        <w:tab w:val="right" w:pos="1701"/>
      </w:tabs>
      <w:ind w:left="1701" w:hanging="1701"/>
    </w:pPr>
  </w:style>
  <w:style w:type="paragraph" w:styleId="TOC4">
    <w:name w:val="toc 4"/>
    <w:basedOn w:val="TOC3"/>
    <w:semiHidden/>
    <w:rsid w:val="006E6F50"/>
    <w:pPr>
      <w:ind w:left="1418" w:hanging="1418"/>
    </w:pPr>
  </w:style>
  <w:style w:type="paragraph" w:styleId="TOC3">
    <w:name w:val="toc 3"/>
    <w:basedOn w:val="TOC2"/>
    <w:semiHidden/>
    <w:rsid w:val="006E6F50"/>
    <w:pPr>
      <w:ind w:left="1134" w:hanging="1134"/>
    </w:pPr>
  </w:style>
  <w:style w:type="paragraph" w:styleId="TOC2">
    <w:name w:val="toc 2"/>
    <w:basedOn w:val="TOC1"/>
    <w:semiHidden/>
    <w:rsid w:val="006E6F50"/>
    <w:pPr>
      <w:keepNext w:val="0"/>
      <w:spacing w:before="0"/>
      <w:ind w:left="851" w:hanging="851"/>
    </w:pPr>
    <w:rPr>
      <w:szCs w:val="20"/>
    </w:rPr>
  </w:style>
  <w:style w:type="paragraph" w:styleId="Index2">
    <w:name w:val="index 2"/>
    <w:basedOn w:val="Index1"/>
    <w:semiHidden/>
    <w:rsid w:val="006E6F50"/>
    <w:pPr>
      <w:ind w:left="284"/>
    </w:pPr>
  </w:style>
  <w:style w:type="paragraph" w:styleId="Index1">
    <w:name w:val="index 1"/>
    <w:basedOn w:val="Normal"/>
    <w:semiHidden/>
    <w:rsid w:val="006E6F50"/>
    <w:pPr>
      <w:keepLines/>
      <w:spacing w:after="0"/>
    </w:pPr>
  </w:style>
  <w:style w:type="paragraph" w:styleId="DocumentMap">
    <w:name w:val="Document Map"/>
    <w:basedOn w:val="Normal"/>
    <w:semiHidden/>
    <w:rsid w:val="006E6F50"/>
    <w:pPr>
      <w:shd w:val="clear" w:color="auto" w:fill="000080"/>
    </w:pPr>
    <w:rPr>
      <w:rFonts w:ascii="Tahoma" w:hAnsi="Tahoma" w:cs="Tahoma"/>
    </w:rPr>
  </w:style>
  <w:style w:type="paragraph" w:styleId="ListNumber2">
    <w:name w:val="List Number 2"/>
    <w:basedOn w:val="ListNumber"/>
    <w:rsid w:val="006E6F50"/>
    <w:pPr>
      <w:ind w:left="851"/>
    </w:pPr>
  </w:style>
  <w:style w:type="paragraph" w:styleId="ListNumber">
    <w:name w:val="List Number"/>
    <w:basedOn w:val="List"/>
    <w:rsid w:val="006E6F50"/>
  </w:style>
  <w:style w:type="paragraph" w:styleId="List">
    <w:name w:val="List"/>
    <w:basedOn w:val="Normal"/>
    <w:rsid w:val="006E6F50"/>
    <w:pPr>
      <w:ind w:left="568" w:hanging="284"/>
    </w:pPr>
  </w:style>
  <w:style w:type="paragraph" w:styleId="Header">
    <w:name w:val="header"/>
    <w:rsid w:val="006E6F5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E6F50"/>
    <w:rPr>
      <w:b/>
      <w:bCs/>
      <w:position w:val="6"/>
      <w:sz w:val="16"/>
      <w:szCs w:val="16"/>
    </w:rPr>
  </w:style>
  <w:style w:type="paragraph" w:styleId="FootnoteText">
    <w:name w:val="footnote text"/>
    <w:basedOn w:val="Normal"/>
    <w:semiHidden/>
    <w:rsid w:val="006E6F50"/>
    <w:pPr>
      <w:keepLines/>
      <w:spacing w:after="0"/>
      <w:ind w:left="454" w:hanging="454"/>
    </w:pPr>
    <w:rPr>
      <w:sz w:val="16"/>
      <w:szCs w:val="16"/>
    </w:rPr>
  </w:style>
  <w:style w:type="paragraph" w:customStyle="1" w:styleId="3GPPHeader">
    <w:name w:val="3GPP_Header"/>
    <w:basedOn w:val="Normal"/>
    <w:qFormat/>
    <w:rsid w:val="006E6F50"/>
    <w:pPr>
      <w:tabs>
        <w:tab w:val="left" w:pos="1800"/>
        <w:tab w:val="right" w:pos="9360"/>
      </w:tabs>
      <w:spacing w:after="0"/>
    </w:pPr>
    <w:rPr>
      <w:rFonts w:ascii="Arial" w:hAnsi="Arial"/>
      <w:b/>
    </w:rPr>
  </w:style>
  <w:style w:type="paragraph" w:styleId="TOC9">
    <w:name w:val="toc 9"/>
    <w:basedOn w:val="TOC8"/>
    <w:semiHidden/>
    <w:rsid w:val="006E6F50"/>
    <w:pPr>
      <w:ind w:left="1418" w:hanging="1418"/>
    </w:pPr>
  </w:style>
  <w:style w:type="paragraph" w:styleId="TOC6">
    <w:name w:val="toc 6"/>
    <w:basedOn w:val="TOC5"/>
    <w:next w:val="Normal"/>
    <w:semiHidden/>
    <w:rsid w:val="006E6F50"/>
    <w:pPr>
      <w:ind w:left="1985" w:hanging="1985"/>
    </w:pPr>
  </w:style>
  <w:style w:type="paragraph" w:styleId="TOC7">
    <w:name w:val="toc 7"/>
    <w:basedOn w:val="TOC6"/>
    <w:next w:val="Normal"/>
    <w:semiHidden/>
    <w:rsid w:val="006E6F50"/>
    <w:pPr>
      <w:ind w:left="2268" w:hanging="2268"/>
    </w:pPr>
  </w:style>
  <w:style w:type="paragraph" w:styleId="ListBullet2">
    <w:name w:val="List Bullet 2"/>
    <w:basedOn w:val="ListBullet"/>
    <w:rsid w:val="006E6F50"/>
    <w:pPr>
      <w:numPr>
        <w:numId w:val="6"/>
      </w:numPr>
    </w:pPr>
  </w:style>
  <w:style w:type="paragraph" w:styleId="ListBullet">
    <w:name w:val="List Bullet"/>
    <w:basedOn w:val="BodyText"/>
    <w:rsid w:val="006E6F50"/>
    <w:pPr>
      <w:numPr>
        <w:numId w:val="5"/>
      </w:numPr>
    </w:pPr>
  </w:style>
  <w:style w:type="paragraph" w:styleId="ListBullet3">
    <w:name w:val="List Bullet 3"/>
    <w:basedOn w:val="ListBullet2"/>
    <w:rsid w:val="006E6F50"/>
    <w:pPr>
      <w:numPr>
        <w:numId w:val="7"/>
      </w:numPr>
    </w:pPr>
  </w:style>
  <w:style w:type="paragraph" w:customStyle="1" w:styleId="EQ">
    <w:name w:val="EQ"/>
    <w:basedOn w:val="Normal"/>
    <w:next w:val="Normal"/>
    <w:rsid w:val="006E6F50"/>
    <w:pPr>
      <w:keepLines/>
      <w:tabs>
        <w:tab w:val="center" w:pos="4536"/>
        <w:tab w:val="right" w:pos="9072"/>
      </w:tabs>
      <w:spacing w:after="180"/>
    </w:pPr>
    <w:rPr>
      <w:noProof/>
    </w:rPr>
  </w:style>
  <w:style w:type="paragraph" w:styleId="List2">
    <w:name w:val="List 2"/>
    <w:basedOn w:val="List"/>
    <w:rsid w:val="006E6F50"/>
    <w:pPr>
      <w:ind w:left="851"/>
    </w:pPr>
  </w:style>
  <w:style w:type="paragraph" w:styleId="List3">
    <w:name w:val="List 3"/>
    <w:basedOn w:val="List2"/>
    <w:rsid w:val="006E6F50"/>
    <w:pPr>
      <w:ind w:left="1135"/>
    </w:pPr>
  </w:style>
  <w:style w:type="paragraph" w:styleId="List4">
    <w:name w:val="List 4"/>
    <w:basedOn w:val="List3"/>
    <w:rsid w:val="006E6F50"/>
    <w:pPr>
      <w:ind w:left="1418"/>
    </w:pPr>
  </w:style>
  <w:style w:type="paragraph" w:styleId="List5">
    <w:name w:val="List 5"/>
    <w:basedOn w:val="List4"/>
    <w:rsid w:val="006E6F50"/>
    <w:pPr>
      <w:ind w:left="1702"/>
    </w:pPr>
  </w:style>
  <w:style w:type="paragraph" w:customStyle="1" w:styleId="EditorsNote">
    <w:name w:val="Editor's Note"/>
    <w:basedOn w:val="Normal"/>
    <w:rsid w:val="006E6F50"/>
    <w:pPr>
      <w:keepLines/>
      <w:spacing w:after="180"/>
      <w:ind w:left="1135" w:hanging="851"/>
    </w:pPr>
    <w:rPr>
      <w:color w:val="FF0000"/>
    </w:rPr>
  </w:style>
  <w:style w:type="paragraph" w:styleId="ListBullet4">
    <w:name w:val="List Bullet 4"/>
    <w:basedOn w:val="ListBullet3"/>
    <w:rsid w:val="006E6F50"/>
    <w:pPr>
      <w:numPr>
        <w:numId w:val="8"/>
      </w:numPr>
    </w:pPr>
  </w:style>
  <w:style w:type="paragraph" w:styleId="ListBullet5">
    <w:name w:val="List Bullet 5"/>
    <w:basedOn w:val="ListBullet4"/>
    <w:rsid w:val="006E6F50"/>
    <w:pPr>
      <w:numPr>
        <w:numId w:val="4"/>
      </w:numPr>
    </w:pPr>
  </w:style>
  <w:style w:type="paragraph" w:styleId="Footer">
    <w:name w:val="footer"/>
    <w:basedOn w:val="Header"/>
    <w:semiHidden/>
    <w:rsid w:val="006E6F50"/>
    <w:pPr>
      <w:jc w:val="center"/>
    </w:pPr>
    <w:rPr>
      <w:i/>
      <w:iCs/>
    </w:rPr>
  </w:style>
  <w:style w:type="paragraph" w:customStyle="1" w:styleId="Reference">
    <w:name w:val="Reference"/>
    <w:basedOn w:val="Normal"/>
    <w:qFormat/>
    <w:rsid w:val="006E6F50"/>
    <w:pPr>
      <w:numPr>
        <w:numId w:val="2"/>
      </w:numPr>
    </w:pPr>
  </w:style>
  <w:style w:type="paragraph" w:styleId="BalloonText">
    <w:name w:val="Balloon Text"/>
    <w:basedOn w:val="Normal"/>
    <w:semiHidden/>
    <w:rsid w:val="006E6F50"/>
    <w:rPr>
      <w:rFonts w:ascii="Tahoma" w:hAnsi="Tahoma" w:cs="Tahoma"/>
      <w:sz w:val="16"/>
      <w:szCs w:val="16"/>
    </w:rPr>
  </w:style>
  <w:style w:type="character" w:styleId="PageNumber">
    <w:name w:val="page number"/>
    <w:basedOn w:val="DefaultParagraphFont"/>
    <w:semiHidden/>
    <w:rsid w:val="006E6F50"/>
  </w:style>
  <w:style w:type="paragraph" w:styleId="BodyText">
    <w:name w:val="Body Text"/>
    <w:basedOn w:val="Normal"/>
    <w:link w:val="BodyTextChar"/>
    <w:qFormat/>
    <w:rsid w:val="006E6F50"/>
  </w:style>
  <w:style w:type="character" w:styleId="Hyperlink">
    <w:name w:val="Hyperlink"/>
    <w:uiPriority w:val="99"/>
    <w:rsid w:val="006E6F50"/>
    <w:rPr>
      <w:color w:val="0000FF"/>
      <w:u w:val="single"/>
      <w:lang w:val="en-GB"/>
    </w:rPr>
  </w:style>
  <w:style w:type="character" w:styleId="FollowedHyperlink">
    <w:name w:val="FollowedHyperlink"/>
    <w:semiHidden/>
    <w:rsid w:val="006E6F50"/>
    <w:rPr>
      <w:color w:val="FF0000"/>
      <w:u w:val="single"/>
    </w:rPr>
  </w:style>
  <w:style w:type="character" w:styleId="CommentReference">
    <w:name w:val="annotation reference"/>
    <w:semiHidden/>
    <w:rsid w:val="006E6F50"/>
    <w:rPr>
      <w:sz w:val="16"/>
      <w:szCs w:val="16"/>
    </w:rPr>
  </w:style>
  <w:style w:type="paragraph" w:styleId="CommentText">
    <w:name w:val="annotation text"/>
    <w:basedOn w:val="Normal"/>
    <w:semiHidden/>
    <w:rsid w:val="006E6F50"/>
  </w:style>
  <w:style w:type="paragraph" w:styleId="CommentSubject">
    <w:name w:val="annotation subject"/>
    <w:basedOn w:val="CommentText"/>
    <w:next w:val="CommentText"/>
    <w:semiHidden/>
    <w:rsid w:val="006E6F50"/>
    <w:rPr>
      <w:b/>
      <w:bCs/>
    </w:rPr>
  </w:style>
  <w:style w:type="character" w:customStyle="1" w:styleId="Heading1Char">
    <w:name w:val="Heading 1 Char"/>
    <w:link w:val="Heading1"/>
    <w:rsid w:val="006E6F50"/>
    <w:rPr>
      <w:rFonts w:ascii="Arial" w:hAnsi="Arial" w:cs="Arial"/>
      <w:sz w:val="32"/>
      <w:szCs w:val="36"/>
      <w:lang w:val="en-GB" w:eastAsia="zh-CN"/>
    </w:rPr>
  </w:style>
  <w:style w:type="paragraph" w:customStyle="1" w:styleId="B1">
    <w:name w:val="B1"/>
    <w:basedOn w:val="List"/>
    <w:rsid w:val="006E6F50"/>
    <w:pPr>
      <w:spacing w:after="180"/>
    </w:pPr>
  </w:style>
  <w:style w:type="paragraph" w:customStyle="1" w:styleId="B2">
    <w:name w:val="B2"/>
    <w:basedOn w:val="List2"/>
    <w:rsid w:val="006E6F50"/>
    <w:pPr>
      <w:spacing w:after="180"/>
    </w:pPr>
  </w:style>
  <w:style w:type="paragraph" w:customStyle="1" w:styleId="B3">
    <w:name w:val="B3"/>
    <w:basedOn w:val="List3"/>
    <w:rsid w:val="006E6F50"/>
    <w:pPr>
      <w:spacing w:after="180"/>
    </w:pPr>
  </w:style>
  <w:style w:type="paragraph" w:customStyle="1" w:styleId="B4">
    <w:name w:val="B4"/>
    <w:basedOn w:val="List4"/>
    <w:rsid w:val="006E6F50"/>
    <w:pPr>
      <w:spacing w:after="180"/>
    </w:pPr>
  </w:style>
  <w:style w:type="paragraph" w:customStyle="1" w:styleId="Proposal">
    <w:name w:val="Proposal"/>
    <w:basedOn w:val="Normal"/>
    <w:qFormat/>
    <w:rsid w:val="006E6F50"/>
    <w:pPr>
      <w:numPr>
        <w:numId w:val="3"/>
      </w:numPr>
      <w:tabs>
        <w:tab w:val="clear" w:pos="1304"/>
        <w:tab w:val="left" w:pos="1701"/>
      </w:tabs>
      <w:ind w:left="1701" w:hanging="1701"/>
    </w:pPr>
    <w:rPr>
      <w:b/>
      <w:bCs/>
    </w:rPr>
  </w:style>
  <w:style w:type="character" w:customStyle="1" w:styleId="BodyTextChar">
    <w:name w:val="Body Text Char"/>
    <w:link w:val="BodyText"/>
    <w:rsid w:val="006E6F50"/>
    <w:rPr>
      <w:rFonts w:ascii="Times New Roman" w:hAnsi="Times New Roman"/>
      <w:lang w:val="en-GB" w:eastAsia="zh-CN"/>
    </w:rPr>
  </w:style>
  <w:style w:type="paragraph" w:customStyle="1" w:styleId="B5">
    <w:name w:val="B5"/>
    <w:basedOn w:val="List5"/>
    <w:rsid w:val="006E6F50"/>
    <w:pPr>
      <w:spacing w:after="180"/>
    </w:pPr>
  </w:style>
  <w:style w:type="paragraph" w:customStyle="1" w:styleId="EX">
    <w:name w:val="EX"/>
    <w:basedOn w:val="Normal"/>
    <w:rsid w:val="006E6F50"/>
    <w:pPr>
      <w:keepLines/>
      <w:spacing w:after="180"/>
      <w:ind w:left="1702" w:hanging="1418"/>
    </w:pPr>
  </w:style>
  <w:style w:type="paragraph" w:customStyle="1" w:styleId="EW">
    <w:name w:val="EW"/>
    <w:basedOn w:val="EX"/>
    <w:rsid w:val="006E6F50"/>
    <w:pPr>
      <w:spacing w:after="0"/>
    </w:pPr>
  </w:style>
  <w:style w:type="paragraph" w:customStyle="1" w:styleId="TAL">
    <w:name w:val="TAL"/>
    <w:basedOn w:val="Normal"/>
    <w:rsid w:val="006E6F50"/>
    <w:pPr>
      <w:keepNext/>
      <w:keepLines/>
      <w:spacing w:after="0"/>
    </w:pPr>
    <w:rPr>
      <w:sz w:val="18"/>
    </w:rPr>
  </w:style>
  <w:style w:type="paragraph" w:customStyle="1" w:styleId="TAC">
    <w:name w:val="TAC"/>
    <w:basedOn w:val="TAL"/>
    <w:rsid w:val="006E6F50"/>
    <w:pPr>
      <w:jc w:val="center"/>
    </w:pPr>
  </w:style>
  <w:style w:type="paragraph" w:customStyle="1" w:styleId="TAH">
    <w:name w:val="TAH"/>
    <w:basedOn w:val="TAC"/>
    <w:rsid w:val="006E6F50"/>
    <w:rPr>
      <w:b/>
    </w:rPr>
  </w:style>
  <w:style w:type="paragraph" w:customStyle="1" w:styleId="TAN">
    <w:name w:val="TAN"/>
    <w:basedOn w:val="TAL"/>
    <w:rsid w:val="006E6F50"/>
    <w:pPr>
      <w:ind w:left="851" w:hanging="851"/>
    </w:pPr>
  </w:style>
  <w:style w:type="paragraph" w:customStyle="1" w:styleId="TAR">
    <w:name w:val="TAR"/>
    <w:basedOn w:val="TAL"/>
    <w:rsid w:val="006E6F50"/>
    <w:pPr>
      <w:jc w:val="right"/>
    </w:pPr>
  </w:style>
  <w:style w:type="paragraph" w:customStyle="1" w:styleId="TH">
    <w:name w:val="TH"/>
    <w:basedOn w:val="Normal"/>
    <w:rsid w:val="006E6F50"/>
    <w:pPr>
      <w:keepNext/>
      <w:keepLines/>
      <w:spacing w:before="60" w:after="180"/>
      <w:jc w:val="center"/>
    </w:pPr>
    <w:rPr>
      <w:b/>
    </w:rPr>
  </w:style>
  <w:style w:type="paragraph" w:customStyle="1" w:styleId="TF">
    <w:name w:val="TF"/>
    <w:basedOn w:val="TH"/>
    <w:rsid w:val="006E6F50"/>
    <w:pPr>
      <w:keepNext w:val="0"/>
      <w:spacing w:before="0" w:after="240"/>
    </w:pPr>
  </w:style>
  <w:style w:type="paragraph" w:customStyle="1" w:styleId="TT">
    <w:name w:val="TT"/>
    <w:basedOn w:val="Heading1"/>
    <w:next w:val="Normal"/>
    <w:rsid w:val="006E6F50"/>
    <w:pPr>
      <w:numPr>
        <w:numId w:val="0"/>
      </w:numPr>
      <w:ind w:left="1134" w:hanging="1134"/>
      <w:outlineLvl w:val="9"/>
    </w:pPr>
    <w:rPr>
      <w:rFonts w:cs="Times New Roman"/>
      <w:szCs w:val="20"/>
      <w:lang w:eastAsia="en-US"/>
    </w:rPr>
  </w:style>
  <w:style w:type="paragraph" w:customStyle="1" w:styleId="ZA">
    <w:name w:val="ZA"/>
    <w:rsid w:val="006E6F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6F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E6F5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E6F5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E6F50"/>
  </w:style>
  <w:style w:type="paragraph" w:customStyle="1" w:styleId="ZH">
    <w:name w:val="ZH"/>
    <w:rsid w:val="006E6F5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E6F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E6F50"/>
    <w:pPr>
      <w:framePr w:hRule="auto" w:wrap="notBeside" w:y="852"/>
    </w:pPr>
    <w:rPr>
      <w:i w:val="0"/>
      <w:sz w:val="40"/>
    </w:rPr>
  </w:style>
  <w:style w:type="paragraph" w:customStyle="1" w:styleId="ZU">
    <w:name w:val="ZU"/>
    <w:rsid w:val="006E6F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E6F50"/>
    <w:pPr>
      <w:framePr w:wrap="notBeside" w:y="16161"/>
    </w:pPr>
  </w:style>
  <w:style w:type="paragraph" w:customStyle="1" w:styleId="FP">
    <w:name w:val="FP"/>
    <w:basedOn w:val="Normal"/>
    <w:rsid w:val="006E6F50"/>
    <w:pPr>
      <w:spacing w:after="0"/>
    </w:pPr>
  </w:style>
  <w:style w:type="paragraph" w:customStyle="1" w:styleId="Observation">
    <w:name w:val="Observation"/>
    <w:basedOn w:val="Proposal"/>
    <w:qFormat/>
    <w:rsid w:val="006E6F50"/>
    <w:pPr>
      <w:numPr>
        <w:numId w:val="13"/>
      </w:numPr>
      <w:ind w:left="1701" w:hanging="1701"/>
    </w:pPr>
  </w:style>
  <w:style w:type="paragraph" w:styleId="TableofFigures">
    <w:name w:val="table of figures"/>
    <w:basedOn w:val="Normal"/>
    <w:next w:val="Normal"/>
    <w:uiPriority w:val="99"/>
    <w:rsid w:val="006E6F50"/>
    <w:pPr>
      <w:ind w:left="1418" w:hanging="1418"/>
    </w:pPr>
    <w:rPr>
      <w:b/>
    </w:rPr>
  </w:style>
  <w:style w:type="paragraph" w:styleId="Index4">
    <w:name w:val="index 4"/>
    <w:basedOn w:val="Normal"/>
    <w:next w:val="Normal"/>
    <w:autoRedefine/>
    <w:rsid w:val="006E6F50"/>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styleId="PlaceholderText">
    <w:name w:val="Placeholder Text"/>
    <w:basedOn w:val="DefaultParagraphFont"/>
    <w:uiPriority w:val="99"/>
    <w:semiHidden/>
    <w:rsid w:val="00004CD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9595837">
      <w:bodyDiv w:val="1"/>
      <w:marLeft w:val="0"/>
      <w:marRight w:val="0"/>
      <w:marTop w:val="0"/>
      <w:marBottom w:val="0"/>
      <w:divBdr>
        <w:top w:val="none" w:sz="0" w:space="0" w:color="auto"/>
        <w:left w:val="none" w:sz="0" w:space="0" w:color="auto"/>
        <w:bottom w:val="none" w:sz="0" w:space="0" w:color="auto"/>
        <w:right w:val="none" w:sz="0" w:space="0" w:color="auto"/>
      </w:divBdr>
    </w:div>
    <w:div w:id="729840304">
      <w:bodyDiv w:val="1"/>
      <w:marLeft w:val="0"/>
      <w:marRight w:val="0"/>
      <w:marTop w:val="0"/>
      <w:marBottom w:val="0"/>
      <w:divBdr>
        <w:top w:val="none" w:sz="0" w:space="0" w:color="auto"/>
        <w:left w:val="none" w:sz="0" w:space="0" w:color="auto"/>
        <w:bottom w:val="none" w:sz="0" w:space="0" w:color="auto"/>
        <w:right w:val="none" w:sz="0" w:space="0" w:color="auto"/>
      </w:divBdr>
    </w:div>
    <w:div w:id="762261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Samsung\AppData\Local\Microsoft\Windows\Temporary%20Internet%20Files\Content.Outlook\R1-1709232.zip"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2D6360-7108-4388-86B6-951D10C45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1044</Words>
  <Characters>5951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2017-08-17T07:55:00Z</dcterms:created>
  <dcterms:modified xsi:type="dcterms:W3CDTF">2018-02-16T16:57:00Z</dcterms:modified>
</cp:coreProperties>
</file>